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8A" w:rsidRDefault="007A2A8A" w:rsidP="007A2A8A">
      <w:pPr>
        <w:spacing w:before="0" w:beforeAutospacing="0" w:after="0" w:afterAutospacing="0"/>
        <w:ind w:firstLine="0"/>
      </w:pPr>
      <w:r>
        <w:t>CHAPTER 20</w:t>
      </w:r>
    </w:p>
    <w:p w:rsidR="007A2A8A" w:rsidRDefault="007A2A8A" w:rsidP="007A2A8A">
      <w:pPr>
        <w:spacing w:before="0" w:beforeAutospacing="0" w:after="0" w:afterAutospacing="0"/>
        <w:ind w:firstLine="0"/>
      </w:pPr>
      <w:r>
        <w:t>ACCT 3021 INTERMEDIATE ACCOUNTING</w:t>
      </w:r>
    </w:p>
    <w:p w:rsidR="007A2A8A" w:rsidRPr="007A2A8A" w:rsidRDefault="007A2A8A" w:rsidP="007A2A8A">
      <w:pPr>
        <w:spacing w:before="0" w:beforeAutospacing="0" w:after="0" w:afterAutospacing="0"/>
        <w:ind w:firstLine="0"/>
        <w:rPr>
          <w:b/>
          <w:i/>
          <w:u w:val="single"/>
        </w:rPr>
      </w:pPr>
      <w:r w:rsidRPr="007A2A8A">
        <w:rPr>
          <w:b/>
          <w:i/>
          <w:u w:val="single"/>
        </w:rPr>
        <w:t>QUESTION 1</w:t>
      </w:r>
      <w:r>
        <w:rPr>
          <w:b/>
          <w:i/>
          <w:u w:val="single"/>
        </w:rPr>
        <w:t xml:space="preserve"> </w:t>
      </w:r>
    </w:p>
    <w:tbl>
      <w:tblPr>
        <w:tblW w:w="10710" w:type="dxa"/>
        <w:tblCellSpacing w:w="0" w:type="dxa"/>
        <w:shd w:val="clear" w:color="auto" w:fill="FFFFFF"/>
        <w:tblCellMar>
          <w:left w:w="0" w:type="dxa"/>
          <w:right w:w="0" w:type="dxa"/>
        </w:tblCellMar>
        <w:tblLook w:val="04A0" w:firstRow="1" w:lastRow="0" w:firstColumn="1" w:lastColumn="0" w:noHBand="0" w:noVBand="1"/>
      </w:tblPr>
      <w:tblGrid>
        <w:gridCol w:w="10710"/>
      </w:tblGrid>
      <w:tr w:rsidR="007A2A8A" w:rsidRPr="007A2A8A" w:rsidTr="0092536D">
        <w:trPr>
          <w:tblCellSpacing w:w="0" w:type="dxa"/>
        </w:trPr>
        <w:tc>
          <w:tcPr>
            <w:tcW w:w="10710" w:type="dxa"/>
            <w:shd w:val="clear" w:color="auto" w:fill="FFFFFF"/>
            <w:vAlign w:val="center"/>
            <w:hideMark/>
          </w:tcPr>
          <w:p w:rsidR="007A2A8A" w:rsidRPr="007A2A8A" w:rsidRDefault="007A2A8A" w:rsidP="007A2A8A">
            <w:pPr>
              <w:spacing w:before="0" w:beforeAutospacing="0" w:after="0" w:afterAutospacing="0" w:line="240" w:lineRule="auto"/>
              <w:ind w:firstLine="0"/>
              <w:textAlignment w:val="baseline"/>
              <w:rPr>
                <w:rFonts w:ascii="Arial" w:eastAsia="Times New Roman" w:hAnsi="Arial" w:cs="Arial"/>
                <w:color w:val="333333"/>
                <w:sz w:val="20"/>
                <w:szCs w:val="20"/>
              </w:rPr>
            </w:pPr>
            <w:r w:rsidRPr="007A2A8A">
              <w:rPr>
                <w:rFonts w:ascii="Arial" w:eastAsia="Times New Roman" w:hAnsi="Arial" w:cs="Arial"/>
                <w:color w:val="333333"/>
                <w:sz w:val="20"/>
                <w:szCs w:val="20"/>
              </w:rPr>
              <w:t>Described below are six independent and unrelated situations involving accounting changes. Each change occurs during 2016 before any adjusting entries or closing entries were prepared. Assume the tax rate for each company is 40% in all years. Any tax effects should be adjusted through the deferred tax liability account.</w:t>
            </w:r>
          </w:p>
        </w:tc>
      </w:tr>
    </w:tbl>
    <w:p w:rsidR="007A2A8A" w:rsidRPr="007A2A8A" w:rsidRDefault="007A2A8A" w:rsidP="007A2A8A">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7A2A8A">
        <w:rPr>
          <w:rFonts w:ascii="Arial" w:eastAsia="Times New Roman" w:hAnsi="Arial" w:cs="Arial"/>
          <w:color w:val="333333"/>
          <w:sz w:val="21"/>
          <w:szCs w:val="21"/>
        </w:rPr>
        <w:t> </w:t>
      </w:r>
    </w:p>
    <w:tbl>
      <w:tblPr>
        <w:tblW w:w="10710" w:type="dxa"/>
        <w:tblCellSpacing w:w="0" w:type="dxa"/>
        <w:shd w:val="clear" w:color="auto" w:fill="FFFFFF"/>
        <w:tblCellMar>
          <w:left w:w="0" w:type="dxa"/>
          <w:right w:w="0" w:type="dxa"/>
        </w:tblCellMar>
        <w:tblLook w:val="04A0" w:firstRow="1" w:lastRow="0" w:firstColumn="1" w:lastColumn="0" w:noHBand="0" w:noVBand="1"/>
      </w:tblPr>
      <w:tblGrid>
        <w:gridCol w:w="186"/>
        <w:gridCol w:w="10524"/>
      </w:tblGrid>
      <w:tr w:rsidR="007A2A8A" w:rsidRPr="007A2A8A" w:rsidTr="0092536D">
        <w:trPr>
          <w:tblCellSpacing w:w="0" w:type="dxa"/>
        </w:trPr>
        <w:tc>
          <w:tcPr>
            <w:tcW w:w="87" w:type="pct"/>
            <w:shd w:val="clear" w:color="auto" w:fill="FFFFFF"/>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a.</w:t>
            </w:r>
          </w:p>
        </w:tc>
        <w:tc>
          <w:tcPr>
            <w:tcW w:w="4913" w:type="pct"/>
            <w:shd w:val="clear" w:color="auto" w:fill="FFFFFF"/>
            <w:vAlign w:val="center"/>
            <w:hideMark/>
          </w:tcPr>
          <w:p w:rsidR="007A2A8A" w:rsidRPr="007A2A8A" w:rsidRDefault="007A2A8A" w:rsidP="007A2A8A">
            <w:pPr>
              <w:spacing w:before="0" w:beforeAutospacing="0" w:after="0" w:afterAutospacing="0" w:line="240" w:lineRule="auto"/>
              <w:ind w:firstLine="0"/>
              <w:textAlignment w:val="baseline"/>
              <w:rPr>
                <w:rFonts w:ascii="Arial" w:eastAsia="Times New Roman" w:hAnsi="Arial" w:cs="Arial"/>
                <w:color w:val="333333"/>
                <w:sz w:val="20"/>
                <w:szCs w:val="20"/>
              </w:rPr>
            </w:pPr>
            <w:r w:rsidRPr="007A2A8A">
              <w:rPr>
                <w:rFonts w:ascii="Arial" w:eastAsia="Times New Roman" w:hAnsi="Arial" w:cs="Arial"/>
                <w:color w:val="333333"/>
                <w:sz w:val="20"/>
                <w:szCs w:val="20"/>
              </w:rPr>
              <w:t>Fleming Home Products introduced a new line of commercial awnings in 2015 that carry a one-year warranty against manufacturer’s defects. Based on industry experience, warranty costs were expected to approximate 4% of sales. Sales of the awnings in 2015 were $2,800,000. Accordingly, warranty expense and a warranty liability of $112,000 were recorded in 2015. In late 2016, the company’s claims experience was evaluated and it was determined that claims were far fewer than expected: 3% of sales rather than 4%. Sales of the awnings in 2016 were $3,300,000 and warranty expenditures in 2016 totaled $75,075.</w:t>
            </w:r>
          </w:p>
        </w:tc>
      </w:tr>
      <w:tr w:rsidR="007A2A8A" w:rsidRPr="007A2A8A" w:rsidTr="0092536D">
        <w:trPr>
          <w:tblCellSpacing w:w="0" w:type="dxa"/>
        </w:trPr>
        <w:tc>
          <w:tcPr>
            <w:tcW w:w="87" w:type="pct"/>
            <w:shd w:val="clear" w:color="auto" w:fill="FFFFFF"/>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b.</w:t>
            </w:r>
          </w:p>
        </w:tc>
        <w:tc>
          <w:tcPr>
            <w:tcW w:w="4913" w:type="pct"/>
            <w:shd w:val="clear" w:color="auto" w:fill="FFFFFF"/>
            <w:vAlign w:val="center"/>
            <w:hideMark/>
          </w:tcPr>
          <w:p w:rsidR="007A2A8A" w:rsidRPr="007A2A8A" w:rsidRDefault="007A2A8A" w:rsidP="007A2A8A">
            <w:pPr>
              <w:spacing w:before="0" w:beforeAutospacing="0" w:after="0" w:afterAutospacing="0" w:line="240" w:lineRule="auto"/>
              <w:ind w:firstLine="0"/>
              <w:textAlignment w:val="baseline"/>
              <w:rPr>
                <w:rFonts w:ascii="Arial" w:eastAsia="Times New Roman" w:hAnsi="Arial" w:cs="Arial"/>
                <w:color w:val="333333"/>
                <w:sz w:val="20"/>
                <w:szCs w:val="20"/>
              </w:rPr>
            </w:pPr>
            <w:r w:rsidRPr="007A2A8A">
              <w:rPr>
                <w:rFonts w:ascii="Arial" w:eastAsia="Times New Roman" w:hAnsi="Arial" w:cs="Arial"/>
                <w:color w:val="333333"/>
                <w:sz w:val="20"/>
                <w:szCs w:val="20"/>
              </w:rPr>
              <w:t>On December 30, 2012, Rival Industries acquired its office building at a cost of $860,000. It was depreciated on a straight-line basis assuming a useful life of 40 years and no salvage value. However, plans were finalized in 2016 to relocate the company headquarters at the end of 2020. The vacated office building will have a salvage value at that time of $630,000.</w:t>
            </w:r>
            <w:r w:rsidRPr="007A2A8A">
              <w:rPr>
                <w:rFonts w:ascii="Arial" w:eastAsia="Times New Roman" w:hAnsi="Arial" w:cs="Arial"/>
                <w:color w:val="333333"/>
                <w:sz w:val="20"/>
                <w:szCs w:val="20"/>
              </w:rPr>
              <w:br/>
              <w:t> </w:t>
            </w:r>
          </w:p>
        </w:tc>
      </w:tr>
      <w:tr w:rsidR="007A2A8A" w:rsidRPr="007A2A8A" w:rsidTr="0092536D">
        <w:trPr>
          <w:tblCellSpacing w:w="0" w:type="dxa"/>
        </w:trPr>
        <w:tc>
          <w:tcPr>
            <w:tcW w:w="87" w:type="pct"/>
            <w:shd w:val="clear" w:color="auto" w:fill="FFFFFF"/>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c.</w:t>
            </w:r>
          </w:p>
        </w:tc>
        <w:tc>
          <w:tcPr>
            <w:tcW w:w="4913" w:type="pct"/>
            <w:shd w:val="clear" w:color="auto" w:fill="FFFFFF"/>
            <w:vAlign w:val="center"/>
            <w:hideMark/>
          </w:tcPr>
          <w:p w:rsidR="007A2A8A" w:rsidRPr="007A2A8A" w:rsidRDefault="007A2A8A" w:rsidP="007A2A8A">
            <w:pPr>
              <w:spacing w:before="0" w:beforeAutospacing="0" w:after="0" w:afterAutospacing="0" w:line="240" w:lineRule="auto"/>
              <w:ind w:firstLine="0"/>
              <w:textAlignment w:val="baseline"/>
              <w:rPr>
                <w:rFonts w:ascii="Arial" w:eastAsia="Times New Roman" w:hAnsi="Arial" w:cs="Arial"/>
                <w:color w:val="333333"/>
                <w:sz w:val="20"/>
                <w:szCs w:val="20"/>
              </w:rPr>
            </w:pPr>
            <w:r w:rsidRPr="007A2A8A">
              <w:rPr>
                <w:rFonts w:ascii="Arial" w:eastAsia="Times New Roman" w:hAnsi="Arial" w:cs="Arial"/>
                <w:color w:val="333333"/>
                <w:sz w:val="20"/>
                <w:szCs w:val="20"/>
              </w:rPr>
              <w:t>Hobbs-</w:t>
            </w:r>
            <w:proofErr w:type="spellStart"/>
            <w:r w:rsidRPr="007A2A8A">
              <w:rPr>
                <w:rFonts w:ascii="Arial" w:eastAsia="Times New Roman" w:hAnsi="Arial" w:cs="Arial"/>
                <w:color w:val="333333"/>
                <w:sz w:val="20"/>
                <w:szCs w:val="20"/>
              </w:rPr>
              <w:t>Barto</w:t>
            </w:r>
            <w:proofErr w:type="spellEnd"/>
            <w:r w:rsidRPr="007A2A8A">
              <w:rPr>
                <w:rFonts w:ascii="Arial" w:eastAsia="Times New Roman" w:hAnsi="Arial" w:cs="Arial"/>
                <w:color w:val="333333"/>
                <w:sz w:val="20"/>
                <w:szCs w:val="20"/>
              </w:rPr>
              <w:t xml:space="preserve"> Merchandising, Inc</w:t>
            </w:r>
            <w:proofErr w:type="gramStart"/>
            <w:r w:rsidRPr="007A2A8A">
              <w:rPr>
                <w:rFonts w:ascii="Arial" w:eastAsia="Times New Roman" w:hAnsi="Arial" w:cs="Arial"/>
                <w:color w:val="333333"/>
                <w:sz w:val="20"/>
                <w:szCs w:val="20"/>
              </w:rPr>
              <w:t>.,</w:t>
            </w:r>
            <w:proofErr w:type="gramEnd"/>
            <w:r w:rsidRPr="007A2A8A">
              <w:rPr>
                <w:rFonts w:ascii="Arial" w:eastAsia="Times New Roman" w:hAnsi="Arial" w:cs="Arial"/>
                <w:color w:val="333333"/>
                <w:sz w:val="20"/>
                <w:szCs w:val="20"/>
              </w:rPr>
              <w:t xml:space="preserve"> changed inventory cost methods to LIFO from FIFO at the end of 2016 for both financial statement and income tax purposes. Under FIFO, the inventory at January 1, 2016, is $620,000.</w:t>
            </w:r>
          </w:p>
        </w:tc>
      </w:tr>
      <w:tr w:rsidR="007A2A8A" w:rsidRPr="007A2A8A" w:rsidTr="0092536D">
        <w:trPr>
          <w:tblCellSpacing w:w="0" w:type="dxa"/>
        </w:trPr>
        <w:tc>
          <w:tcPr>
            <w:tcW w:w="87" w:type="pct"/>
            <w:shd w:val="clear" w:color="auto" w:fill="FFFFFF"/>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d.</w:t>
            </w:r>
          </w:p>
        </w:tc>
        <w:tc>
          <w:tcPr>
            <w:tcW w:w="4913" w:type="pct"/>
            <w:shd w:val="clear" w:color="auto" w:fill="FFFFFF"/>
            <w:vAlign w:val="center"/>
            <w:hideMark/>
          </w:tcPr>
          <w:p w:rsidR="007A2A8A" w:rsidRPr="007A2A8A" w:rsidRDefault="007A2A8A" w:rsidP="007A2A8A">
            <w:pPr>
              <w:spacing w:before="0" w:beforeAutospacing="0" w:after="0" w:afterAutospacing="0" w:line="240" w:lineRule="auto"/>
              <w:ind w:firstLine="0"/>
              <w:textAlignment w:val="baseline"/>
              <w:rPr>
                <w:rFonts w:ascii="Arial" w:eastAsia="Times New Roman" w:hAnsi="Arial" w:cs="Arial"/>
                <w:color w:val="333333"/>
                <w:sz w:val="20"/>
                <w:szCs w:val="20"/>
              </w:rPr>
            </w:pPr>
            <w:r w:rsidRPr="007A2A8A">
              <w:rPr>
                <w:rFonts w:ascii="Arial" w:eastAsia="Times New Roman" w:hAnsi="Arial" w:cs="Arial"/>
                <w:color w:val="333333"/>
                <w:sz w:val="20"/>
                <w:szCs w:val="20"/>
              </w:rPr>
              <w:t>At the beginning of 2013, the Hoffman Group purchased office equipment at a cost of $253,000. Its useful life was estimated to be 10 years with no salvage value. The equipment was depreciated by the sum-of-the-years’-digits method. On January 1, 2016, the company changed to the straight-line method.</w:t>
            </w:r>
          </w:p>
        </w:tc>
      </w:tr>
      <w:tr w:rsidR="007A2A8A" w:rsidRPr="007A2A8A" w:rsidTr="0092536D">
        <w:trPr>
          <w:tblCellSpacing w:w="0" w:type="dxa"/>
        </w:trPr>
        <w:tc>
          <w:tcPr>
            <w:tcW w:w="87" w:type="pct"/>
            <w:shd w:val="clear" w:color="auto" w:fill="FFFFFF"/>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e.</w:t>
            </w:r>
          </w:p>
        </w:tc>
        <w:tc>
          <w:tcPr>
            <w:tcW w:w="4913" w:type="pct"/>
            <w:shd w:val="clear" w:color="auto" w:fill="FFFFFF"/>
            <w:vAlign w:val="center"/>
            <w:hideMark/>
          </w:tcPr>
          <w:p w:rsidR="007A2A8A" w:rsidRPr="007A2A8A" w:rsidRDefault="007A2A8A" w:rsidP="007A2A8A">
            <w:pPr>
              <w:spacing w:before="0" w:beforeAutospacing="0" w:after="0" w:afterAutospacing="0" w:line="240" w:lineRule="auto"/>
              <w:ind w:firstLine="0"/>
              <w:textAlignment w:val="baseline"/>
              <w:rPr>
                <w:rFonts w:ascii="Arial" w:eastAsia="Times New Roman" w:hAnsi="Arial" w:cs="Arial"/>
                <w:color w:val="333333"/>
                <w:sz w:val="20"/>
                <w:szCs w:val="20"/>
              </w:rPr>
            </w:pPr>
            <w:r w:rsidRPr="007A2A8A">
              <w:rPr>
                <w:rFonts w:ascii="Arial" w:eastAsia="Times New Roman" w:hAnsi="Arial" w:cs="Arial"/>
                <w:color w:val="333333"/>
                <w:sz w:val="20"/>
                <w:szCs w:val="20"/>
              </w:rPr>
              <w:t>In November 2014, the State of Minnesota filed suit against Huggins Manufacturing Company, seeking penalties for violations of clean air laws. When the financial statements were issued in 2015, Huggins had not reached a settlement with state authorities, but legal counsel advised Huggins that it was probable the company would have to pay $130,000 in penalties. Accordingly, the following entry was recorded:</w:t>
            </w:r>
          </w:p>
        </w:tc>
      </w:tr>
    </w:tbl>
    <w:p w:rsidR="007A2A8A" w:rsidRPr="007A2A8A" w:rsidRDefault="007A2A8A" w:rsidP="007A2A8A">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7A2A8A">
        <w:rPr>
          <w:rFonts w:ascii="Arial" w:eastAsia="Times New Roman" w:hAnsi="Arial" w:cs="Arial"/>
          <w:color w:val="333333"/>
          <w:sz w:val="21"/>
          <w:szCs w:val="21"/>
        </w:rPr>
        <w:br/>
        <w:t> </w:t>
      </w:r>
    </w:p>
    <w:tbl>
      <w:tblPr>
        <w:tblW w:w="6200" w:type="dxa"/>
        <w:tblCellSpacing w:w="0" w:type="dxa"/>
        <w:tblInd w:w="300" w:type="dxa"/>
        <w:shd w:val="clear" w:color="auto" w:fill="FFFFFF"/>
        <w:tblCellMar>
          <w:left w:w="0" w:type="dxa"/>
          <w:right w:w="0" w:type="dxa"/>
        </w:tblCellMar>
        <w:tblLook w:val="04A0" w:firstRow="1" w:lastRow="0" w:firstColumn="1" w:lastColumn="0" w:noHBand="0" w:noVBand="1"/>
      </w:tblPr>
      <w:tblGrid>
        <w:gridCol w:w="4340"/>
        <w:gridCol w:w="930"/>
        <w:gridCol w:w="930"/>
      </w:tblGrid>
      <w:tr w:rsidR="007A2A8A" w:rsidRPr="007A2A8A" w:rsidTr="007A2A8A">
        <w:trPr>
          <w:tblCellSpacing w:w="0" w:type="dxa"/>
        </w:trPr>
        <w:tc>
          <w:tcPr>
            <w:tcW w:w="3500" w:type="pct"/>
            <w:shd w:val="clear" w:color="auto" w:fill="D7DCE6"/>
            <w:vAlign w:val="center"/>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 </w:t>
            </w:r>
          </w:p>
        </w:tc>
        <w:tc>
          <w:tcPr>
            <w:tcW w:w="750" w:type="pct"/>
            <w:shd w:val="clear" w:color="auto" w:fill="D7DCE6"/>
            <w:vAlign w:val="center"/>
            <w:hideMark/>
          </w:tcPr>
          <w:p w:rsidR="007A2A8A" w:rsidRPr="007A2A8A" w:rsidRDefault="007A2A8A" w:rsidP="007A2A8A">
            <w:pPr>
              <w:spacing w:before="0" w:beforeAutospacing="0" w:after="0" w:afterAutospacing="0" w:line="240" w:lineRule="auto"/>
              <w:ind w:firstLine="0"/>
              <w:jc w:val="right"/>
              <w:rPr>
                <w:rFonts w:ascii="Arial" w:eastAsia="Times New Roman" w:hAnsi="Arial" w:cs="Arial"/>
                <w:color w:val="333333"/>
                <w:sz w:val="20"/>
                <w:szCs w:val="20"/>
              </w:rPr>
            </w:pPr>
            <w:r w:rsidRPr="007A2A8A">
              <w:rPr>
                <w:rFonts w:ascii="Arial" w:eastAsia="Times New Roman" w:hAnsi="Arial" w:cs="Arial"/>
                <w:color w:val="333333"/>
                <w:sz w:val="20"/>
                <w:szCs w:val="20"/>
              </w:rPr>
              <w:t> </w:t>
            </w:r>
          </w:p>
        </w:tc>
        <w:tc>
          <w:tcPr>
            <w:tcW w:w="750" w:type="pct"/>
            <w:shd w:val="clear" w:color="auto" w:fill="D7DCE6"/>
            <w:vAlign w:val="center"/>
            <w:hideMark/>
          </w:tcPr>
          <w:p w:rsidR="007A2A8A" w:rsidRPr="007A2A8A" w:rsidRDefault="007A2A8A" w:rsidP="007A2A8A">
            <w:pPr>
              <w:spacing w:before="0" w:beforeAutospacing="0" w:after="0" w:afterAutospacing="0" w:line="240" w:lineRule="auto"/>
              <w:ind w:firstLine="0"/>
              <w:jc w:val="right"/>
              <w:rPr>
                <w:rFonts w:ascii="Arial" w:eastAsia="Times New Roman" w:hAnsi="Arial" w:cs="Arial"/>
                <w:color w:val="333333"/>
                <w:sz w:val="20"/>
                <w:szCs w:val="20"/>
              </w:rPr>
            </w:pPr>
            <w:r w:rsidRPr="007A2A8A">
              <w:rPr>
                <w:rFonts w:ascii="Arial" w:eastAsia="Times New Roman" w:hAnsi="Arial" w:cs="Arial"/>
                <w:color w:val="333333"/>
                <w:sz w:val="20"/>
                <w:szCs w:val="20"/>
              </w:rPr>
              <w:t> </w:t>
            </w:r>
          </w:p>
        </w:tc>
      </w:tr>
      <w:tr w:rsidR="007A2A8A" w:rsidRPr="007A2A8A" w:rsidTr="007A2A8A">
        <w:trPr>
          <w:tblCellSpacing w:w="0" w:type="dxa"/>
        </w:trPr>
        <w:tc>
          <w:tcPr>
            <w:tcW w:w="3500" w:type="pct"/>
            <w:shd w:val="clear" w:color="auto" w:fill="FFFFFF"/>
            <w:vAlign w:val="center"/>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  Loss—litigation</w:t>
            </w:r>
          </w:p>
        </w:tc>
        <w:tc>
          <w:tcPr>
            <w:tcW w:w="750" w:type="pct"/>
            <w:shd w:val="clear" w:color="auto" w:fill="FFFFFF"/>
            <w:vAlign w:val="center"/>
            <w:hideMark/>
          </w:tcPr>
          <w:p w:rsidR="007A2A8A" w:rsidRPr="007A2A8A" w:rsidRDefault="007A2A8A" w:rsidP="007A2A8A">
            <w:pPr>
              <w:spacing w:before="0" w:beforeAutospacing="0" w:after="0" w:afterAutospacing="0" w:line="240" w:lineRule="auto"/>
              <w:ind w:firstLine="0"/>
              <w:jc w:val="right"/>
              <w:rPr>
                <w:rFonts w:ascii="Arial" w:eastAsia="Times New Roman" w:hAnsi="Arial" w:cs="Arial"/>
                <w:color w:val="333333"/>
                <w:sz w:val="20"/>
                <w:szCs w:val="20"/>
              </w:rPr>
            </w:pPr>
            <w:r w:rsidRPr="007A2A8A">
              <w:rPr>
                <w:rFonts w:ascii="Arial" w:eastAsia="Times New Roman" w:hAnsi="Arial" w:cs="Arial"/>
                <w:color w:val="333333"/>
                <w:sz w:val="20"/>
                <w:szCs w:val="20"/>
              </w:rPr>
              <w:t>130,000  </w:t>
            </w:r>
          </w:p>
        </w:tc>
        <w:tc>
          <w:tcPr>
            <w:tcW w:w="750" w:type="pct"/>
            <w:shd w:val="clear" w:color="auto" w:fill="FFFFFF"/>
            <w:vAlign w:val="center"/>
            <w:hideMark/>
          </w:tcPr>
          <w:p w:rsidR="007A2A8A" w:rsidRPr="007A2A8A" w:rsidRDefault="007A2A8A" w:rsidP="007A2A8A">
            <w:pPr>
              <w:spacing w:before="0" w:beforeAutospacing="0" w:after="0" w:afterAutospacing="0" w:line="240" w:lineRule="auto"/>
              <w:ind w:firstLine="0"/>
              <w:jc w:val="right"/>
              <w:rPr>
                <w:rFonts w:ascii="Arial" w:eastAsia="Times New Roman" w:hAnsi="Arial" w:cs="Arial"/>
                <w:color w:val="333333"/>
                <w:sz w:val="20"/>
                <w:szCs w:val="20"/>
              </w:rPr>
            </w:pPr>
            <w:r w:rsidRPr="007A2A8A">
              <w:rPr>
                <w:rFonts w:ascii="Arial" w:eastAsia="Times New Roman" w:hAnsi="Arial" w:cs="Arial"/>
                <w:color w:val="333333"/>
                <w:sz w:val="20"/>
                <w:szCs w:val="20"/>
              </w:rPr>
              <w:t> </w:t>
            </w:r>
          </w:p>
        </w:tc>
      </w:tr>
      <w:tr w:rsidR="007A2A8A" w:rsidRPr="007A2A8A" w:rsidTr="007A2A8A">
        <w:trPr>
          <w:tblCellSpacing w:w="0" w:type="dxa"/>
        </w:trPr>
        <w:tc>
          <w:tcPr>
            <w:tcW w:w="3500" w:type="pct"/>
            <w:shd w:val="clear" w:color="auto" w:fill="F7F7F7"/>
            <w:vAlign w:val="center"/>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       Liability—litigation</w:t>
            </w:r>
          </w:p>
        </w:tc>
        <w:tc>
          <w:tcPr>
            <w:tcW w:w="750" w:type="pct"/>
            <w:shd w:val="clear" w:color="auto" w:fill="F7F7F7"/>
            <w:vAlign w:val="center"/>
            <w:hideMark/>
          </w:tcPr>
          <w:p w:rsidR="007A2A8A" w:rsidRPr="007A2A8A" w:rsidRDefault="007A2A8A" w:rsidP="007A2A8A">
            <w:pPr>
              <w:spacing w:before="0" w:beforeAutospacing="0" w:after="0" w:afterAutospacing="0" w:line="240" w:lineRule="auto"/>
              <w:ind w:firstLine="0"/>
              <w:jc w:val="right"/>
              <w:rPr>
                <w:rFonts w:ascii="Arial" w:eastAsia="Times New Roman" w:hAnsi="Arial" w:cs="Arial"/>
                <w:color w:val="333333"/>
                <w:sz w:val="20"/>
                <w:szCs w:val="20"/>
              </w:rPr>
            </w:pPr>
            <w:r w:rsidRPr="007A2A8A">
              <w:rPr>
                <w:rFonts w:ascii="Arial" w:eastAsia="Times New Roman" w:hAnsi="Arial" w:cs="Arial"/>
                <w:color w:val="333333"/>
                <w:sz w:val="20"/>
                <w:szCs w:val="20"/>
              </w:rPr>
              <w:t> </w:t>
            </w:r>
          </w:p>
        </w:tc>
        <w:tc>
          <w:tcPr>
            <w:tcW w:w="750" w:type="pct"/>
            <w:shd w:val="clear" w:color="auto" w:fill="F7F7F7"/>
            <w:vAlign w:val="center"/>
            <w:hideMark/>
          </w:tcPr>
          <w:p w:rsidR="007A2A8A" w:rsidRPr="007A2A8A" w:rsidRDefault="007A2A8A" w:rsidP="007A2A8A">
            <w:pPr>
              <w:spacing w:before="0" w:beforeAutospacing="0" w:after="0" w:afterAutospacing="0" w:line="240" w:lineRule="auto"/>
              <w:ind w:firstLine="0"/>
              <w:jc w:val="right"/>
              <w:rPr>
                <w:rFonts w:ascii="Arial" w:eastAsia="Times New Roman" w:hAnsi="Arial" w:cs="Arial"/>
                <w:color w:val="333333"/>
                <w:sz w:val="20"/>
                <w:szCs w:val="20"/>
              </w:rPr>
            </w:pPr>
            <w:r w:rsidRPr="007A2A8A">
              <w:rPr>
                <w:rFonts w:ascii="Arial" w:eastAsia="Times New Roman" w:hAnsi="Arial" w:cs="Arial"/>
                <w:color w:val="333333"/>
                <w:sz w:val="20"/>
                <w:szCs w:val="20"/>
              </w:rPr>
              <w:t>130,000  </w:t>
            </w:r>
          </w:p>
        </w:tc>
      </w:tr>
      <w:tr w:rsidR="007A2A8A" w:rsidRPr="007A2A8A" w:rsidTr="007A2A8A">
        <w:trPr>
          <w:tblCellSpacing w:w="0" w:type="dxa"/>
        </w:trPr>
        <w:tc>
          <w:tcPr>
            <w:tcW w:w="0" w:type="auto"/>
            <w:gridSpan w:val="3"/>
            <w:shd w:val="clear" w:color="auto" w:fill="FFFFFF"/>
            <w:vAlign w:val="center"/>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pict>
                <v:rect id="_x0000_i1025" style="width:22in;height:2.5pt" o:hrstd="t" o:hrnoshade="t" o:hr="t" fillcolor="#d7dce6" stroked="f"/>
              </w:pict>
            </w:r>
          </w:p>
        </w:tc>
      </w:tr>
    </w:tbl>
    <w:p w:rsidR="007A2A8A" w:rsidRPr="007A2A8A" w:rsidRDefault="007A2A8A" w:rsidP="007A2A8A">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7A2A8A">
        <w:rPr>
          <w:rFonts w:ascii="Arial" w:eastAsia="Times New Roman" w:hAnsi="Arial" w:cs="Arial"/>
          <w:color w:val="333333"/>
          <w:sz w:val="21"/>
          <w:szCs w:val="21"/>
        </w:rPr>
        <w:t> </w:t>
      </w:r>
      <w:r w:rsidRPr="007A2A8A">
        <w:rPr>
          <w:rFonts w:ascii="Arial" w:eastAsia="Times New Roman" w:hAnsi="Arial" w:cs="Arial"/>
          <w:color w:val="333333"/>
          <w:sz w:val="21"/>
          <w:szCs w:val="21"/>
        </w:rPr>
        <w:br/>
        <w:t> </w:t>
      </w:r>
    </w:p>
    <w:tbl>
      <w:tblPr>
        <w:tblW w:w="10260" w:type="dxa"/>
        <w:tblCellSpacing w:w="0" w:type="dxa"/>
        <w:shd w:val="clear" w:color="auto" w:fill="FFFFFF"/>
        <w:tblCellMar>
          <w:left w:w="0" w:type="dxa"/>
          <w:right w:w="0" w:type="dxa"/>
        </w:tblCellMar>
        <w:tblLook w:val="04A0" w:firstRow="1" w:lastRow="0" w:firstColumn="1" w:lastColumn="0" w:noHBand="0" w:noVBand="1"/>
      </w:tblPr>
      <w:tblGrid>
        <w:gridCol w:w="10260"/>
      </w:tblGrid>
      <w:tr w:rsidR="007A2A8A" w:rsidRPr="007A2A8A" w:rsidTr="0092536D">
        <w:trPr>
          <w:tblCellSpacing w:w="0" w:type="dxa"/>
        </w:trPr>
        <w:tc>
          <w:tcPr>
            <w:tcW w:w="10260" w:type="dxa"/>
            <w:shd w:val="clear" w:color="auto" w:fill="FFFFFF"/>
            <w:vAlign w:val="center"/>
            <w:hideMark/>
          </w:tcPr>
          <w:p w:rsidR="007A2A8A" w:rsidRPr="007A2A8A" w:rsidRDefault="007A2A8A" w:rsidP="007A2A8A">
            <w:pPr>
              <w:spacing w:before="0" w:beforeAutospacing="0" w:after="0" w:afterAutospacing="0" w:line="240" w:lineRule="auto"/>
              <w:ind w:firstLine="0"/>
              <w:textAlignment w:val="baseline"/>
              <w:rPr>
                <w:rFonts w:ascii="Arial" w:eastAsia="Times New Roman" w:hAnsi="Arial" w:cs="Arial"/>
                <w:color w:val="333333"/>
                <w:sz w:val="20"/>
                <w:szCs w:val="20"/>
              </w:rPr>
            </w:pPr>
            <w:r w:rsidRPr="007A2A8A">
              <w:rPr>
                <w:rFonts w:ascii="Arial" w:eastAsia="Times New Roman" w:hAnsi="Arial" w:cs="Arial"/>
                <w:color w:val="333333"/>
                <w:sz w:val="20"/>
                <w:szCs w:val="20"/>
              </w:rPr>
              <w:t>     Late in 2016, a settlement was reached with state authorities to pay a total of $273,000 in penalties.</w:t>
            </w:r>
          </w:p>
        </w:tc>
      </w:tr>
    </w:tbl>
    <w:p w:rsidR="007A2A8A" w:rsidRPr="007A2A8A" w:rsidRDefault="007A2A8A" w:rsidP="007A2A8A">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7A2A8A">
        <w:rPr>
          <w:rFonts w:ascii="Arial" w:eastAsia="Times New Roman" w:hAnsi="Arial" w:cs="Arial"/>
          <w:color w:val="333333"/>
          <w:sz w:val="21"/>
          <w:szCs w:val="21"/>
        </w:rPr>
        <w:t> </w:t>
      </w:r>
    </w:p>
    <w:tbl>
      <w:tblPr>
        <w:tblW w:w="10440" w:type="dxa"/>
        <w:tblCellSpacing w:w="0" w:type="dxa"/>
        <w:shd w:val="clear" w:color="auto" w:fill="FFFFFF"/>
        <w:tblCellMar>
          <w:left w:w="0" w:type="dxa"/>
          <w:right w:w="0" w:type="dxa"/>
        </w:tblCellMar>
        <w:tblLook w:val="04A0" w:firstRow="1" w:lastRow="0" w:firstColumn="1" w:lastColumn="0" w:noHBand="0" w:noVBand="1"/>
      </w:tblPr>
      <w:tblGrid>
        <w:gridCol w:w="186"/>
        <w:gridCol w:w="10254"/>
      </w:tblGrid>
      <w:tr w:rsidR="007A2A8A" w:rsidRPr="007A2A8A" w:rsidTr="0092536D">
        <w:trPr>
          <w:tblCellSpacing w:w="0" w:type="dxa"/>
        </w:trPr>
        <w:tc>
          <w:tcPr>
            <w:tcW w:w="89" w:type="pct"/>
            <w:shd w:val="clear" w:color="auto" w:fill="FFFFFF"/>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f.</w:t>
            </w:r>
          </w:p>
        </w:tc>
        <w:tc>
          <w:tcPr>
            <w:tcW w:w="4911" w:type="pct"/>
            <w:shd w:val="clear" w:color="auto" w:fill="FFFFFF"/>
            <w:vAlign w:val="center"/>
            <w:hideMark/>
          </w:tcPr>
          <w:p w:rsidR="007A2A8A" w:rsidRPr="007A2A8A" w:rsidRDefault="007A2A8A" w:rsidP="007A2A8A">
            <w:pPr>
              <w:spacing w:before="0" w:beforeAutospacing="0" w:after="0" w:afterAutospacing="0" w:line="240" w:lineRule="auto"/>
              <w:ind w:firstLine="0"/>
              <w:textAlignment w:val="baseline"/>
              <w:rPr>
                <w:rFonts w:ascii="Arial" w:eastAsia="Times New Roman" w:hAnsi="Arial" w:cs="Arial"/>
                <w:color w:val="333333"/>
                <w:sz w:val="20"/>
                <w:szCs w:val="20"/>
              </w:rPr>
            </w:pPr>
            <w:r w:rsidRPr="007A2A8A">
              <w:rPr>
                <w:rFonts w:ascii="Arial" w:eastAsia="Times New Roman" w:hAnsi="Arial" w:cs="Arial"/>
                <w:color w:val="333333"/>
                <w:sz w:val="20"/>
                <w:szCs w:val="20"/>
              </w:rPr>
              <w:t xml:space="preserve">At the beginning of 2016, </w:t>
            </w:r>
            <w:proofErr w:type="spellStart"/>
            <w:r w:rsidRPr="007A2A8A">
              <w:rPr>
                <w:rFonts w:ascii="Arial" w:eastAsia="Times New Roman" w:hAnsi="Arial" w:cs="Arial"/>
                <w:color w:val="333333"/>
                <w:sz w:val="20"/>
                <w:szCs w:val="20"/>
              </w:rPr>
              <w:t>Jantzen</w:t>
            </w:r>
            <w:proofErr w:type="spellEnd"/>
            <w:r w:rsidRPr="007A2A8A">
              <w:rPr>
                <w:rFonts w:ascii="Arial" w:eastAsia="Times New Roman" w:hAnsi="Arial" w:cs="Arial"/>
                <w:color w:val="333333"/>
                <w:sz w:val="20"/>
                <w:szCs w:val="20"/>
              </w:rPr>
              <w:t xml:space="preserve"> Specialties, which uses the sum-of-the-years’-digits method, changed to the straight-line method for newly acquired buildings and equipment. The change increased current year net earnings by $368,000.</w:t>
            </w:r>
          </w:p>
        </w:tc>
      </w:tr>
    </w:tbl>
    <w:p w:rsidR="007A2A8A" w:rsidRPr="007A2A8A" w:rsidRDefault="007A2A8A" w:rsidP="007A2A8A">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7A2A8A">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7A2A8A" w:rsidRPr="007A2A8A" w:rsidTr="007A2A8A">
        <w:trPr>
          <w:tblCellSpacing w:w="0" w:type="dxa"/>
        </w:trPr>
        <w:tc>
          <w:tcPr>
            <w:tcW w:w="0" w:type="auto"/>
            <w:shd w:val="clear" w:color="auto" w:fill="FFFFFF"/>
            <w:vAlign w:val="center"/>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b/>
                <w:bCs/>
                <w:color w:val="333333"/>
                <w:sz w:val="20"/>
                <w:szCs w:val="20"/>
              </w:rPr>
              <w:t>Required:</w:t>
            </w:r>
          </w:p>
        </w:tc>
      </w:tr>
      <w:tr w:rsidR="007A2A8A" w:rsidRPr="007A2A8A" w:rsidTr="007A2A8A">
        <w:trPr>
          <w:tblCellSpacing w:w="0" w:type="dxa"/>
        </w:trPr>
        <w:tc>
          <w:tcPr>
            <w:tcW w:w="0" w:type="auto"/>
            <w:shd w:val="clear" w:color="auto" w:fill="FFFFFF"/>
            <w:vAlign w:val="center"/>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For each situation:</w:t>
            </w:r>
          </w:p>
        </w:tc>
      </w:tr>
    </w:tbl>
    <w:p w:rsidR="007A2A8A" w:rsidRPr="007A2A8A" w:rsidRDefault="007A2A8A" w:rsidP="007A2A8A">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7A2A8A">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186"/>
        <w:gridCol w:w="6014"/>
      </w:tblGrid>
      <w:tr w:rsidR="007A2A8A" w:rsidRPr="007A2A8A" w:rsidTr="007A2A8A">
        <w:trPr>
          <w:tblCellSpacing w:w="0" w:type="dxa"/>
        </w:trPr>
        <w:tc>
          <w:tcPr>
            <w:tcW w:w="150" w:type="pct"/>
            <w:shd w:val="clear" w:color="auto" w:fill="FFFFFF"/>
            <w:vAlign w:val="center"/>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b/>
                <w:bCs/>
                <w:color w:val="333333"/>
                <w:sz w:val="20"/>
                <w:szCs w:val="20"/>
              </w:rPr>
              <w:t>1.</w:t>
            </w:r>
          </w:p>
        </w:tc>
        <w:tc>
          <w:tcPr>
            <w:tcW w:w="4850" w:type="pct"/>
            <w:shd w:val="clear" w:color="auto" w:fill="FFFFFF"/>
            <w:vAlign w:val="center"/>
            <w:hideMark/>
          </w:tcPr>
          <w:p w:rsidR="007A2A8A" w:rsidRPr="007A2A8A" w:rsidRDefault="007A2A8A" w:rsidP="007A2A8A">
            <w:pPr>
              <w:spacing w:before="0" w:beforeAutospacing="0" w:after="0" w:afterAutospacing="0" w:line="240" w:lineRule="auto"/>
              <w:ind w:firstLine="0"/>
              <w:rPr>
                <w:rFonts w:ascii="Arial" w:eastAsia="Times New Roman" w:hAnsi="Arial" w:cs="Arial"/>
                <w:color w:val="333333"/>
                <w:sz w:val="20"/>
                <w:szCs w:val="20"/>
              </w:rPr>
            </w:pPr>
            <w:r w:rsidRPr="007A2A8A">
              <w:rPr>
                <w:rFonts w:ascii="Arial" w:eastAsia="Times New Roman" w:hAnsi="Arial" w:cs="Arial"/>
                <w:color w:val="333333"/>
                <w:sz w:val="20"/>
                <w:szCs w:val="20"/>
              </w:rPr>
              <w:t>Identify the type of change.</w:t>
            </w:r>
          </w:p>
        </w:tc>
      </w:tr>
    </w:tbl>
    <w:p w:rsidR="007A2A8A" w:rsidRPr="007A2A8A" w:rsidRDefault="007A2A8A" w:rsidP="007A2A8A">
      <w:pPr>
        <w:pStyle w:val="ListParagraph"/>
        <w:numPr>
          <w:ilvl w:val="0"/>
          <w:numId w:val="1"/>
        </w:numPr>
        <w:spacing w:before="0" w:beforeAutospacing="0" w:after="0" w:afterAutospacing="0" w:line="240" w:lineRule="auto"/>
        <w:rPr>
          <w:rFonts w:ascii="Verdana" w:eastAsia="Times New Roman" w:hAnsi="Verdana" w:cs="Times New Roman"/>
          <w:color w:val="000000"/>
          <w:sz w:val="20"/>
          <w:szCs w:val="20"/>
        </w:rPr>
      </w:pPr>
      <w:r w:rsidRPr="007A2A8A">
        <w:rPr>
          <w:rFonts w:ascii="Verdana" w:eastAsia="Times New Roman" w:hAnsi="Verdana" w:cs="Times New Roman"/>
          <w:color w:val="000000"/>
          <w:sz w:val="20"/>
          <w:szCs w:val="20"/>
        </w:rPr>
        <w:t>Record journal entry as a direct result of the change.</w:t>
      </w:r>
    </w:p>
    <w:p w:rsidR="007A2A8A" w:rsidRPr="007A2A8A" w:rsidRDefault="007A2A8A" w:rsidP="007A2A8A">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7A2A8A">
        <w:rPr>
          <w:rFonts w:ascii="Verdana" w:eastAsia="Times New Roman" w:hAnsi="Verdana" w:cs="Times New Roman"/>
          <w:color w:val="000000"/>
          <w:sz w:val="20"/>
          <w:szCs w:val="20"/>
        </w:rPr>
        <w:t>Record adjusting entry for change in warranty.</w:t>
      </w:r>
    </w:p>
    <w:p w:rsidR="007A2A8A" w:rsidRPr="007A2A8A" w:rsidRDefault="007A2A8A" w:rsidP="007A2A8A">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7A2A8A">
        <w:rPr>
          <w:rFonts w:ascii="Verdana" w:eastAsia="Times New Roman" w:hAnsi="Verdana" w:cs="Times New Roman"/>
          <w:color w:val="000000"/>
          <w:sz w:val="20"/>
          <w:szCs w:val="20"/>
        </w:rPr>
        <w:t>Record journal entry as a direct result of the change.</w:t>
      </w:r>
    </w:p>
    <w:p w:rsidR="00E06BFD" w:rsidRPr="00E06BFD" w:rsidRDefault="00E06BFD" w:rsidP="00E06BFD">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E06BFD">
        <w:rPr>
          <w:rFonts w:ascii="Verdana" w:eastAsia="Times New Roman" w:hAnsi="Verdana" w:cs="Times New Roman"/>
          <w:color w:val="000000"/>
          <w:sz w:val="20"/>
          <w:szCs w:val="20"/>
        </w:rPr>
        <w:t>Record adjusting entry for depreciation.</w:t>
      </w:r>
    </w:p>
    <w:p w:rsidR="00E06BFD" w:rsidRPr="00E06BFD" w:rsidRDefault="00E06BFD" w:rsidP="00E06BFD">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E06BFD">
        <w:rPr>
          <w:rFonts w:ascii="Verdana" w:eastAsia="Times New Roman" w:hAnsi="Verdana" w:cs="Times New Roman"/>
          <w:color w:val="000000"/>
          <w:sz w:val="20"/>
          <w:szCs w:val="20"/>
        </w:rPr>
        <w:t>Record the adjusting entry for change in inventory cost method.</w:t>
      </w:r>
    </w:p>
    <w:p w:rsidR="00E06BFD" w:rsidRPr="00E06BFD" w:rsidRDefault="00E06BFD" w:rsidP="00E06BFD">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E06BFD">
        <w:rPr>
          <w:rFonts w:ascii="Verdana" w:eastAsia="Times New Roman" w:hAnsi="Verdana" w:cs="Times New Roman"/>
          <w:color w:val="000000"/>
          <w:sz w:val="20"/>
          <w:szCs w:val="20"/>
        </w:rPr>
        <w:t>Record the adjusting entry for revision of liability.</w:t>
      </w:r>
    </w:p>
    <w:p w:rsidR="00E06BFD" w:rsidRPr="00E06BFD" w:rsidRDefault="00E06BFD" w:rsidP="00E06BFD">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E06BFD">
        <w:rPr>
          <w:rFonts w:ascii="Verdana" w:eastAsia="Times New Roman" w:hAnsi="Verdana" w:cs="Times New Roman"/>
          <w:color w:val="000000"/>
          <w:sz w:val="20"/>
          <w:szCs w:val="20"/>
        </w:rPr>
        <w:t>Record journal entry as a direct result of the change.</w:t>
      </w:r>
    </w:p>
    <w:p w:rsidR="00E06BFD" w:rsidRPr="00E06BFD" w:rsidRDefault="00E06BFD" w:rsidP="00E06BFD">
      <w:pPr>
        <w:numPr>
          <w:ilvl w:val="0"/>
          <w:numId w:val="1"/>
        </w:numPr>
        <w:spacing w:before="0" w:beforeAutospacing="0" w:after="0" w:afterAutospacing="0" w:line="240" w:lineRule="auto"/>
        <w:rPr>
          <w:rFonts w:ascii="Verdana" w:eastAsia="Times New Roman" w:hAnsi="Verdana" w:cs="Times New Roman"/>
          <w:color w:val="000000"/>
          <w:sz w:val="20"/>
          <w:szCs w:val="20"/>
        </w:rPr>
      </w:pPr>
      <w:r w:rsidRPr="00E06BFD">
        <w:rPr>
          <w:rFonts w:ascii="Verdana" w:eastAsia="Times New Roman" w:hAnsi="Verdana" w:cs="Times New Roman"/>
          <w:color w:val="000000"/>
          <w:sz w:val="20"/>
          <w:szCs w:val="20"/>
        </w:rPr>
        <w:t>Record the adjusting entry for change in depreciation method from sum-of-the-years’-digits method to straight-line method.</w:t>
      </w:r>
    </w:p>
    <w:p w:rsidR="007A2A8A" w:rsidRDefault="007A2A8A" w:rsidP="00E06BFD">
      <w:pPr>
        <w:pStyle w:val="ListParagraph"/>
        <w:spacing w:before="0" w:beforeAutospacing="0" w:after="0" w:afterAutospacing="0"/>
        <w:ind w:left="970" w:firstLine="0"/>
        <w:rPr>
          <w:b/>
          <w:i/>
          <w:u w:val="single"/>
        </w:rPr>
      </w:pPr>
    </w:p>
    <w:p w:rsidR="0092536D" w:rsidRDefault="0092536D" w:rsidP="00E06BFD">
      <w:pPr>
        <w:pStyle w:val="ListParagraph"/>
        <w:spacing w:before="0" w:beforeAutospacing="0" w:after="0" w:afterAutospacing="0"/>
        <w:ind w:left="-90" w:firstLine="0"/>
        <w:rPr>
          <w:b/>
          <w:i/>
          <w:u w:val="single"/>
        </w:rPr>
      </w:pPr>
    </w:p>
    <w:p w:rsidR="00E06BFD" w:rsidRPr="007A2A8A" w:rsidRDefault="00E06BFD" w:rsidP="00E06BFD">
      <w:pPr>
        <w:pStyle w:val="ListParagraph"/>
        <w:spacing w:before="0" w:beforeAutospacing="0" w:after="0" w:afterAutospacing="0"/>
        <w:ind w:left="-90" w:firstLine="0"/>
        <w:rPr>
          <w:b/>
          <w:i/>
          <w:u w:val="single"/>
        </w:rPr>
      </w:pPr>
      <w:r>
        <w:rPr>
          <w:b/>
          <w:i/>
          <w:u w:val="single"/>
        </w:rPr>
        <w:lastRenderedPageBreak/>
        <w:t xml:space="preserve">QUESTION 2 </w:t>
      </w:r>
    </w:p>
    <w:tbl>
      <w:tblPr>
        <w:tblW w:w="10350" w:type="dxa"/>
        <w:tblCellSpacing w:w="0" w:type="dxa"/>
        <w:tblCellMar>
          <w:left w:w="0" w:type="dxa"/>
          <w:right w:w="0" w:type="dxa"/>
        </w:tblCellMar>
        <w:tblLook w:val="04A0" w:firstRow="1" w:lastRow="0" w:firstColumn="1" w:lastColumn="0" w:noHBand="0" w:noVBand="1"/>
      </w:tblPr>
      <w:tblGrid>
        <w:gridCol w:w="10350"/>
      </w:tblGrid>
      <w:tr w:rsidR="00E06BFD" w:rsidRPr="00E06BFD" w:rsidTr="00E06BFD">
        <w:trPr>
          <w:tblCellSpacing w:w="0" w:type="dxa"/>
        </w:trPr>
        <w:tc>
          <w:tcPr>
            <w:tcW w:w="10350" w:type="dxa"/>
            <w:vAlign w:val="center"/>
            <w:hideMark/>
          </w:tcPr>
          <w:p w:rsidR="00E06BFD" w:rsidRPr="00E06BFD" w:rsidRDefault="00E06BFD" w:rsidP="00E06BFD">
            <w:pPr>
              <w:spacing w:before="0" w:beforeAutospacing="0" w:after="0" w:afterAutospacing="0" w:line="240" w:lineRule="auto"/>
              <w:ind w:firstLine="0"/>
              <w:textAlignment w:val="baseline"/>
              <w:rPr>
                <w:rFonts w:ascii="Arial" w:eastAsia="Times New Roman" w:hAnsi="Arial" w:cs="Arial"/>
                <w:sz w:val="20"/>
                <w:szCs w:val="20"/>
              </w:rPr>
            </w:pPr>
            <w:r w:rsidRPr="00E06BFD">
              <w:rPr>
                <w:rFonts w:ascii="Arial" w:eastAsia="Times New Roman" w:hAnsi="Arial" w:cs="Arial"/>
                <w:sz w:val="20"/>
                <w:szCs w:val="20"/>
              </w:rPr>
              <w:t>The Pyramid Company has used the LIFO method of accounting for inventory during its first two years of operation, 2014 and 2015. At the beginning of 2016, Pyramid decided to change to the average cost method for both tax and financial reporting purposes. The following table presents information concerning the change for 2014–2016. The income tax rate for all years is 40%.</w:t>
            </w:r>
          </w:p>
        </w:tc>
      </w:tr>
    </w:tbl>
    <w:p w:rsidR="00E06BFD" w:rsidRPr="00E06BFD" w:rsidRDefault="00E06BFD" w:rsidP="00E06BFD">
      <w:pPr>
        <w:spacing w:before="0" w:beforeAutospacing="0" w:after="0" w:afterAutospacing="0" w:line="240" w:lineRule="auto"/>
        <w:ind w:firstLine="0"/>
        <w:rPr>
          <w:rFonts w:ascii="Arial" w:eastAsia="Times New Roman" w:hAnsi="Arial" w:cs="Arial"/>
          <w:sz w:val="24"/>
          <w:szCs w:val="24"/>
        </w:rPr>
      </w:pPr>
      <w:r w:rsidRPr="00E06BFD">
        <w:rPr>
          <w:rFonts w:ascii="Arial" w:eastAsia="Times New Roman" w:hAnsi="Arial" w:cs="Arial"/>
          <w:sz w:val="24"/>
          <w:szCs w:val="24"/>
        </w:rPr>
        <w:t>   </w:t>
      </w:r>
    </w:p>
    <w:tbl>
      <w:tblPr>
        <w:tblW w:w="6200" w:type="dxa"/>
        <w:tblCellSpacing w:w="0" w:type="dxa"/>
        <w:tblCellMar>
          <w:left w:w="0" w:type="dxa"/>
          <w:right w:w="0" w:type="dxa"/>
        </w:tblCellMar>
        <w:tblLook w:val="04A0" w:firstRow="1" w:lastRow="0" w:firstColumn="1" w:lastColumn="0" w:noHBand="0" w:noVBand="1"/>
      </w:tblPr>
      <w:tblGrid>
        <w:gridCol w:w="667"/>
        <w:gridCol w:w="278"/>
        <w:gridCol w:w="837"/>
        <w:gridCol w:w="211"/>
        <w:gridCol w:w="220"/>
        <w:gridCol w:w="723"/>
        <w:gridCol w:w="162"/>
        <w:gridCol w:w="273"/>
        <w:gridCol w:w="612"/>
        <w:gridCol w:w="186"/>
        <w:gridCol w:w="220"/>
        <w:gridCol w:w="612"/>
        <w:gridCol w:w="162"/>
        <w:gridCol w:w="277"/>
        <w:gridCol w:w="612"/>
        <w:gridCol w:w="148"/>
      </w:tblGrid>
      <w:tr w:rsidR="00E06BFD" w:rsidRPr="00E06BFD" w:rsidTr="00E06BFD">
        <w:trPr>
          <w:tblCellSpacing w:w="0" w:type="dxa"/>
        </w:trPr>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0" w:type="auto"/>
            <w:gridSpan w:val="7"/>
            <w:shd w:val="clear" w:color="auto" w:fill="D7DCE6"/>
            <w:vAlign w:val="center"/>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Income before Income Tax</w: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1030" w:type="dxa"/>
            <w:gridSpan w:val="3"/>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r w:rsidR="00E06BFD" w:rsidRPr="00E06BFD" w:rsidTr="00E06BFD">
        <w:trPr>
          <w:tblCellSpacing w:w="0" w:type="dxa"/>
        </w:trPr>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0" w:type="auto"/>
            <w:gridSpan w:val="7"/>
            <w:shd w:val="clear" w:color="auto" w:fill="D7DCE6"/>
            <w:vAlign w:val="center"/>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pict>
                <v:rect id="_x0000_i1026" style="width:0;height:.5pt" o:hralign="right" o:hrstd="t" o:hrnoshade="t" o:hr="t" fillcolor="#a0a0a0" stroked="f"/>
              </w:pic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 </w: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 </w:t>
            </w:r>
          </w:p>
        </w:tc>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1340" w:type="dxa"/>
            <w:gridSpan w:val="4"/>
            <w:shd w:val="clear" w:color="auto" w:fill="D7DCE6"/>
            <w:vAlign w:val="center"/>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 </w:t>
            </w:r>
          </w:p>
        </w:tc>
      </w:tr>
      <w:tr w:rsidR="00E06BFD" w:rsidRPr="00E06BFD" w:rsidTr="00E06BFD">
        <w:trPr>
          <w:tblCellSpacing w:w="0" w:type="dxa"/>
        </w:trPr>
        <w:tc>
          <w:tcPr>
            <w:tcW w:w="0" w:type="auto"/>
            <w:shd w:val="clear" w:color="auto" w:fill="D7DCE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0" w:type="auto"/>
            <w:gridSpan w:val="3"/>
            <w:shd w:val="clear" w:color="auto" w:fill="D7DCE6"/>
            <w:vAlign w:val="bottom"/>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Average Cost Method</w:t>
            </w:r>
          </w:p>
        </w:tc>
        <w:tc>
          <w:tcPr>
            <w:tcW w:w="0" w:type="auto"/>
            <w:gridSpan w:val="3"/>
            <w:shd w:val="clear" w:color="auto" w:fill="D7DCE6"/>
            <w:vAlign w:val="bottom"/>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LIFO Method</w:t>
            </w:r>
          </w:p>
        </w:tc>
        <w:tc>
          <w:tcPr>
            <w:tcW w:w="0" w:type="auto"/>
            <w:gridSpan w:val="3"/>
            <w:shd w:val="clear" w:color="auto" w:fill="D7DCE6"/>
            <w:vAlign w:val="bottom"/>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Difference</w:t>
            </w:r>
          </w:p>
        </w:tc>
        <w:tc>
          <w:tcPr>
            <w:tcW w:w="0" w:type="auto"/>
            <w:gridSpan w:val="3"/>
            <w:shd w:val="clear" w:color="auto" w:fill="D7DCE6"/>
            <w:vAlign w:val="bottom"/>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Income</w:t>
            </w:r>
            <w:r w:rsidRPr="00E06BFD">
              <w:rPr>
                <w:rFonts w:ascii="Arial" w:eastAsia="Times New Roman" w:hAnsi="Arial" w:cs="Arial"/>
                <w:sz w:val="20"/>
                <w:szCs w:val="20"/>
              </w:rPr>
              <w:br/>
              <w:t>Tax Effect</w:t>
            </w:r>
          </w:p>
        </w:tc>
        <w:tc>
          <w:tcPr>
            <w:tcW w:w="1030" w:type="dxa"/>
            <w:gridSpan w:val="3"/>
            <w:shd w:val="clear" w:color="auto" w:fill="D7DCE6"/>
            <w:vAlign w:val="bottom"/>
            <w:hideMark/>
          </w:tcPr>
          <w:p w:rsidR="00E06BFD" w:rsidRPr="00E06BFD" w:rsidRDefault="00E06BFD" w:rsidP="00E06BFD">
            <w:pPr>
              <w:spacing w:before="0" w:beforeAutospacing="0" w:after="0" w:afterAutospacing="0" w:line="240" w:lineRule="auto"/>
              <w:ind w:firstLine="0"/>
              <w:jc w:val="center"/>
              <w:rPr>
                <w:rFonts w:ascii="Arial" w:eastAsia="Times New Roman" w:hAnsi="Arial" w:cs="Arial"/>
                <w:sz w:val="20"/>
                <w:szCs w:val="20"/>
              </w:rPr>
            </w:pPr>
            <w:r w:rsidRPr="00E06BFD">
              <w:rPr>
                <w:rFonts w:ascii="Arial" w:eastAsia="Times New Roman" w:hAnsi="Arial" w:cs="Arial"/>
                <w:sz w:val="20"/>
                <w:szCs w:val="20"/>
              </w:rPr>
              <w:t>Difference</w:t>
            </w:r>
            <w:r w:rsidRPr="00E06BFD">
              <w:rPr>
                <w:rFonts w:ascii="Arial" w:eastAsia="Times New Roman" w:hAnsi="Arial" w:cs="Arial"/>
                <w:sz w:val="20"/>
                <w:szCs w:val="20"/>
              </w:rPr>
              <w:br/>
              <w:t>after Tax</w:t>
            </w:r>
          </w:p>
        </w:tc>
      </w:tr>
      <w:tr w:rsidR="00E06BFD" w:rsidRPr="00E06BFD" w:rsidTr="00E06BFD">
        <w:trPr>
          <w:tblCellSpacing w:w="0" w:type="dxa"/>
        </w:trPr>
        <w:tc>
          <w:tcPr>
            <w:tcW w:w="62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2014</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52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95,400</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5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63,600</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31,800</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12,720</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19,080</w:t>
            </w:r>
          </w:p>
        </w:tc>
        <w:tc>
          <w:tcPr>
            <w:tcW w:w="23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r w:rsidR="00E06BFD" w:rsidRPr="00E06BFD" w:rsidTr="00E06BFD">
        <w:trPr>
          <w:tblCellSpacing w:w="0" w:type="dxa"/>
        </w:trPr>
        <w:tc>
          <w:tcPr>
            <w:tcW w:w="62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2015</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 </w:t>
            </w:r>
          </w:p>
        </w:tc>
        <w:tc>
          <w:tcPr>
            <w:tcW w:w="52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49,500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 </w:t>
            </w:r>
          </w:p>
        </w:tc>
        <w:tc>
          <w:tcPr>
            <w:tcW w:w="45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39,600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 </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9,900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 </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3,960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 </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5,940</w:t>
            </w:r>
          </w:p>
        </w:tc>
        <w:tc>
          <w:tcPr>
            <w:tcW w:w="23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r w:rsidR="00E06BFD" w:rsidRPr="00E06BFD" w:rsidTr="00E06BFD">
        <w:trPr>
          <w:tblCellSpacing w:w="0" w:type="dxa"/>
        </w:trPr>
        <w:tc>
          <w:tcPr>
            <w:tcW w:w="62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27"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52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28"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29"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45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0"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1"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2"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3"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4"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5"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6"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23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r w:rsidR="00E06BFD" w:rsidRPr="00E06BFD" w:rsidTr="00E06BFD">
        <w:trPr>
          <w:tblCellSpacing w:w="0" w:type="dxa"/>
        </w:trPr>
        <w:tc>
          <w:tcPr>
            <w:tcW w:w="62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Total</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52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144,900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5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103,200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41,700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16,680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25,020</w:t>
            </w:r>
          </w:p>
        </w:tc>
        <w:tc>
          <w:tcPr>
            <w:tcW w:w="23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r w:rsidR="00E06BFD" w:rsidRPr="00E06BFD" w:rsidTr="00E06BFD">
        <w:trPr>
          <w:tblCellSpacing w:w="0" w:type="dxa"/>
        </w:trPr>
        <w:tc>
          <w:tcPr>
            <w:tcW w:w="62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7"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8"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52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39"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0"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1"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2"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45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3"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4"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5"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6"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7"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8"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49"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50"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51"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52"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31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53"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54"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430" w:type="dxa"/>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55"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pict>
                <v:rect id="_x0000_i1056" style="width:0;height:.5pt" o:hralign="right" o:hrstd="t" o:hrnoshade="t" o:hr="t" fillcolor="#a0a0a0" stroked="f"/>
              </w:pict>
            </w:r>
          </w:p>
          <w:p w:rsidR="00E06BFD" w:rsidRPr="00E06BFD" w:rsidRDefault="00E06BFD" w:rsidP="00E06BFD">
            <w:pPr>
              <w:spacing w:before="0" w:beforeAutospacing="0" w:after="0" w:afterAutospacing="0" w:line="240" w:lineRule="auto"/>
              <w:ind w:firstLine="0"/>
              <w:jc w:val="right"/>
              <w:textAlignment w:val="baseline"/>
              <w:rPr>
                <w:rFonts w:ascii="Arial" w:eastAsia="Times New Roman" w:hAnsi="Arial" w:cs="Arial"/>
                <w:sz w:val="20"/>
                <w:szCs w:val="20"/>
              </w:rPr>
            </w:pPr>
            <w:r w:rsidRPr="00E06BFD">
              <w:rPr>
                <w:rFonts w:ascii="Arial" w:eastAsia="Times New Roman" w:hAnsi="Arial" w:cs="Arial"/>
                <w:sz w:val="20"/>
                <w:szCs w:val="20"/>
              </w:rPr>
              <w:t> </w:t>
            </w:r>
          </w:p>
        </w:tc>
        <w:tc>
          <w:tcPr>
            <w:tcW w:w="230" w:type="dxa"/>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r w:rsidR="00E06BFD" w:rsidRPr="00E06BFD" w:rsidTr="00E06BFD">
        <w:trPr>
          <w:tblCellSpacing w:w="0" w:type="dxa"/>
        </w:trPr>
        <w:tc>
          <w:tcPr>
            <w:tcW w:w="62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2016</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52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52,800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5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46,900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5,900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2,360</w:t>
            </w:r>
          </w:p>
        </w:tc>
        <w:tc>
          <w:tcPr>
            <w:tcW w:w="31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37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w:t>
            </w:r>
          </w:p>
        </w:tc>
        <w:tc>
          <w:tcPr>
            <w:tcW w:w="430" w:type="dxa"/>
            <w:shd w:val="clear" w:color="auto" w:fill="F7F7F7"/>
            <w:vAlign w:val="center"/>
            <w:hideMark/>
          </w:tcPr>
          <w:p w:rsidR="00E06BFD" w:rsidRPr="00E06BFD" w:rsidRDefault="00E06BFD" w:rsidP="00E06BFD">
            <w:pPr>
              <w:spacing w:before="0" w:beforeAutospacing="0" w:after="0" w:afterAutospacing="0" w:line="240" w:lineRule="auto"/>
              <w:ind w:firstLine="0"/>
              <w:jc w:val="right"/>
              <w:rPr>
                <w:rFonts w:ascii="Arial" w:eastAsia="Times New Roman" w:hAnsi="Arial" w:cs="Arial"/>
                <w:sz w:val="20"/>
                <w:szCs w:val="20"/>
              </w:rPr>
            </w:pPr>
            <w:r w:rsidRPr="00E06BFD">
              <w:rPr>
                <w:rFonts w:ascii="Arial" w:eastAsia="Times New Roman" w:hAnsi="Arial" w:cs="Arial"/>
                <w:sz w:val="20"/>
                <w:szCs w:val="20"/>
              </w:rPr>
              <w:t>3,540</w:t>
            </w:r>
          </w:p>
        </w:tc>
        <w:tc>
          <w:tcPr>
            <w:tcW w:w="230" w:type="dxa"/>
            <w:shd w:val="clear" w:color="auto" w:fill="F7F7F7"/>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r w:rsidR="00E06BFD" w:rsidRPr="00E06BFD" w:rsidTr="00E06BFD">
        <w:trPr>
          <w:tblCellSpacing w:w="0" w:type="dxa"/>
        </w:trPr>
        <w:tc>
          <w:tcPr>
            <w:tcW w:w="6200" w:type="dxa"/>
            <w:gridSpan w:val="16"/>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pict>
                <v:rect id="_x0000_i1057" style="width:22in;height:2.5pt" o:hrstd="t" o:hrnoshade="t" o:hr="t" fillcolor="#d7dce6" stroked="f"/>
              </w:pict>
            </w:r>
          </w:p>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br/>
              <w:t> </w:t>
            </w:r>
          </w:p>
        </w:tc>
      </w:tr>
    </w:tbl>
    <w:p w:rsidR="00E06BFD" w:rsidRPr="00E06BFD" w:rsidRDefault="00E06BFD" w:rsidP="00E06BFD">
      <w:pPr>
        <w:spacing w:before="0" w:beforeAutospacing="0" w:after="0" w:afterAutospacing="0" w:line="240" w:lineRule="auto"/>
        <w:ind w:firstLine="0"/>
        <w:rPr>
          <w:rFonts w:ascii="Times New Roman" w:eastAsia="Times New Roman" w:hAnsi="Times New Roman" w:cs="Times New Roman"/>
          <w:vanish/>
          <w:sz w:val="24"/>
          <w:szCs w:val="24"/>
        </w:rPr>
      </w:pPr>
    </w:p>
    <w:tbl>
      <w:tblPr>
        <w:tblW w:w="10620" w:type="dxa"/>
        <w:tblCellSpacing w:w="0" w:type="dxa"/>
        <w:tblCellMar>
          <w:left w:w="0" w:type="dxa"/>
          <w:right w:w="0" w:type="dxa"/>
        </w:tblCellMar>
        <w:tblLook w:val="04A0" w:firstRow="1" w:lastRow="0" w:firstColumn="1" w:lastColumn="0" w:noHBand="0" w:noVBand="1"/>
      </w:tblPr>
      <w:tblGrid>
        <w:gridCol w:w="10620"/>
      </w:tblGrid>
      <w:tr w:rsidR="00E06BFD" w:rsidRPr="00E06BFD" w:rsidTr="00E06BFD">
        <w:trPr>
          <w:tblCellSpacing w:w="0" w:type="dxa"/>
        </w:trPr>
        <w:tc>
          <w:tcPr>
            <w:tcW w:w="10620" w:type="dxa"/>
            <w:vAlign w:val="center"/>
            <w:hideMark/>
          </w:tcPr>
          <w:p w:rsidR="00E06BFD" w:rsidRPr="00E06BFD" w:rsidRDefault="00E06BFD" w:rsidP="00E06BFD">
            <w:pPr>
              <w:spacing w:before="0" w:beforeAutospacing="0" w:after="0" w:afterAutospacing="0" w:line="240" w:lineRule="auto"/>
              <w:ind w:firstLine="0"/>
              <w:textAlignment w:val="baseline"/>
              <w:rPr>
                <w:rFonts w:ascii="Arial" w:eastAsia="Times New Roman" w:hAnsi="Arial" w:cs="Arial"/>
                <w:sz w:val="20"/>
                <w:szCs w:val="20"/>
              </w:rPr>
            </w:pPr>
            <w:r w:rsidRPr="00E06BFD">
              <w:rPr>
                <w:rFonts w:ascii="Arial" w:eastAsia="Times New Roman" w:hAnsi="Arial" w:cs="Arial"/>
                <w:sz w:val="20"/>
                <w:szCs w:val="20"/>
              </w:rPr>
              <w:t xml:space="preserve">Pyramid issued 61,000 $1 </w:t>
            </w:r>
            <w:proofErr w:type="gramStart"/>
            <w:r w:rsidRPr="00E06BFD">
              <w:rPr>
                <w:rFonts w:ascii="Arial" w:eastAsia="Times New Roman" w:hAnsi="Arial" w:cs="Arial"/>
                <w:sz w:val="20"/>
                <w:szCs w:val="20"/>
              </w:rPr>
              <w:t>par</w:t>
            </w:r>
            <w:proofErr w:type="gramEnd"/>
            <w:r w:rsidRPr="00E06BFD">
              <w:rPr>
                <w:rFonts w:ascii="Arial" w:eastAsia="Times New Roman" w:hAnsi="Arial" w:cs="Arial"/>
                <w:sz w:val="20"/>
                <w:szCs w:val="20"/>
              </w:rPr>
              <w:t>, common shares for $275,000 when the business began, and there have been no changes in paid-in capital since then. Dividends were not paid the first year, but $10,000 cash dividends were paid in both 2015 and 2016.</w:t>
            </w:r>
          </w:p>
        </w:tc>
      </w:tr>
    </w:tbl>
    <w:p w:rsidR="00E06BFD" w:rsidRPr="00E06BFD" w:rsidRDefault="00E06BFD" w:rsidP="00E06BFD">
      <w:pPr>
        <w:spacing w:before="0" w:beforeAutospacing="0" w:after="0" w:afterAutospacing="0" w:line="240" w:lineRule="auto"/>
        <w:ind w:firstLine="0"/>
        <w:rPr>
          <w:rFonts w:ascii="Arial" w:eastAsia="Times New Roman" w:hAnsi="Arial" w:cs="Arial"/>
          <w:sz w:val="24"/>
          <w:szCs w:val="24"/>
        </w:rPr>
      </w:pPr>
      <w:r w:rsidRPr="00E06BFD">
        <w:rPr>
          <w:rFonts w:ascii="Arial" w:eastAsia="Times New Roman" w:hAnsi="Arial" w:cs="Arial"/>
          <w:sz w:val="24"/>
          <w:szCs w:val="24"/>
        </w:rPr>
        <w:t> </w:t>
      </w:r>
      <w:r w:rsidRPr="00E06BFD">
        <w:rPr>
          <w:rFonts w:ascii="Arial" w:eastAsia="Times New Roman" w:hAnsi="Arial" w:cs="Arial"/>
          <w:sz w:val="24"/>
          <w:szCs w:val="24"/>
        </w:rPr>
        <w:br/>
        <w:t> </w:t>
      </w:r>
    </w:p>
    <w:tbl>
      <w:tblPr>
        <w:tblW w:w="6200" w:type="dxa"/>
        <w:tblCellSpacing w:w="0" w:type="dxa"/>
        <w:tblCellMar>
          <w:left w:w="0" w:type="dxa"/>
          <w:right w:w="0" w:type="dxa"/>
        </w:tblCellMar>
        <w:tblLook w:val="04A0" w:firstRow="1" w:lastRow="0" w:firstColumn="1" w:lastColumn="0" w:noHBand="0" w:noVBand="1"/>
      </w:tblPr>
      <w:tblGrid>
        <w:gridCol w:w="6200"/>
      </w:tblGrid>
      <w:tr w:rsidR="00E06BFD" w:rsidRPr="00E06BFD" w:rsidTr="00E06BFD">
        <w:trPr>
          <w:tblCellSpacing w:w="0" w:type="dxa"/>
        </w:trPr>
        <w:tc>
          <w:tcPr>
            <w:tcW w:w="0" w:type="auto"/>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b/>
                <w:bCs/>
                <w:sz w:val="20"/>
                <w:szCs w:val="20"/>
              </w:rPr>
              <w:t>Required:</w:t>
            </w:r>
          </w:p>
        </w:tc>
      </w:tr>
    </w:tbl>
    <w:p w:rsidR="00E06BFD" w:rsidRPr="00E06BFD" w:rsidRDefault="00E06BFD" w:rsidP="00E06BFD">
      <w:pPr>
        <w:spacing w:before="0" w:beforeAutospacing="0" w:after="0" w:afterAutospacing="0" w:line="240" w:lineRule="auto"/>
        <w:ind w:firstLine="0"/>
        <w:rPr>
          <w:rFonts w:ascii="Times New Roman" w:eastAsia="Times New Roman" w:hAnsi="Times New Roman" w:cs="Times New Roman"/>
          <w:vanish/>
          <w:sz w:val="24"/>
          <w:szCs w:val="24"/>
        </w:rPr>
      </w:pPr>
    </w:p>
    <w:tbl>
      <w:tblPr>
        <w:tblW w:w="10530" w:type="dxa"/>
        <w:tblCellSpacing w:w="0" w:type="dxa"/>
        <w:tblCellMar>
          <w:left w:w="0" w:type="dxa"/>
          <w:right w:w="0" w:type="dxa"/>
        </w:tblCellMar>
        <w:tblLook w:val="04A0" w:firstRow="1" w:lastRow="0" w:firstColumn="1" w:lastColumn="0" w:noHBand="0" w:noVBand="1"/>
      </w:tblPr>
      <w:tblGrid>
        <w:gridCol w:w="185"/>
        <w:gridCol w:w="10345"/>
      </w:tblGrid>
      <w:tr w:rsidR="00E06BFD" w:rsidRPr="00E06BFD" w:rsidTr="00E06BFD">
        <w:trPr>
          <w:tblCellSpacing w:w="0" w:type="dxa"/>
        </w:trPr>
        <w:tc>
          <w:tcPr>
            <w:tcW w:w="88" w:type="pct"/>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b/>
                <w:bCs/>
                <w:sz w:val="20"/>
                <w:szCs w:val="20"/>
              </w:rPr>
              <w:t>1.</w:t>
            </w:r>
          </w:p>
        </w:tc>
        <w:tc>
          <w:tcPr>
            <w:tcW w:w="4912" w:type="pct"/>
            <w:vAlign w:val="center"/>
            <w:hideMark/>
          </w:tcPr>
          <w:p w:rsidR="00E06BFD" w:rsidRPr="00E06BFD" w:rsidRDefault="00E06BFD" w:rsidP="00E06BFD">
            <w:pPr>
              <w:spacing w:before="0" w:beforeAutospacing="0" w:after="0" w:afterAutospacing="0" w:line="240" w:lineRule="auto"/>
              <w:ind w:firstLine="0"/>
              <w:textAlignment w:val="baseline"/>
              <w:rPr>
                <w:rFonts w:ascii="Arial" w:eastAsia="Times New Roman" w:hAnsi="Arial" w:cs="Arial"/>
                <w:sz w:val="20"/>
                <w:szCs w:val="20"/>
              </w:rPr>
            </w:pPr>
            <w:r w:rsidRPr="00E06BFD">
              <w:rPr>
                <w:rFonts w:ascii="Arial" w:eastAsia="Times New Roman" w:hAnsi="Arial" w:cs="Arial"/>
                <w:sz w:val="20"/>
                <w:szCs w:val="20"/>
              </w:rPr>
              <w:t>Prepare the journal entry to record the change in accounting principle. </w:t>
            </w:r>
            <w:r w:rsidRPr="00E06BFD">
              <w:rPr>
                <w:rFonts w:ascii="Arial" w:eastAsia="Times New Roman" w:hAnsi="Arial" w:cs="Arial"/>
                <w:b/>
                <w:bCs/>
                <w:color w:val="ED1C24"/>
                <w:sz w:val="20"/>
                <w:szCs w:val="20"/>
              </w:rPr>
              <w:t>(If no entry is required for a transaction/event, select "No journal entry required" in the first account field.)</w:t>
            </w:r>
            <w:r w:rsidRPr="00E06BFD">
              <w:rPr>
                <w:rFonts w:ascii="Arial" w:eastAsia="Times New Roman" w:hAnsi="Arial" w:cs="Arial"/>
                <w:color w:val="ED1C24"/>
                <w:sz w:val="20"/>
                <w:szCs w:val="20"/>
              </w:rPr>
              <w:t> </w:t>
            </w:r>
          </w:p>
        </w:tc>
      </w:tr>
      <w:tr w:rsidR="00E06BFD" w:rsidRPr="00E06BFD" w:rsidTr="00E06BFD">
        <w:trPr>
          <w:tblCellSpacing w:w="0" w:type="dxa"/>
        </w:trPr>
        <w:tc>
          <w:tcPr>
            <w:tcW w:w="88" w:type="pct"/>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4912" w:type="pct"/>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bl>
    <w:p w:rsidR="00E06BFD" w:rsidRPr="00E06BFD" w:rsidRDefault="00E06BFD" w:rsidP="00E06BFD">
      <w:pPr>
        <w:spacing w:before="0" w:beforeAutospacing="0" w:after="0" w:afterAutospacing="0" w:line="240" w:lineRule="auto"/>
        <w:ind w:firstLine="0"/>
        <w:rPr>
          <w:rFonts w:ascii="Arial" w:eastAsia="Times New Roman" w:hAnsi="Arial" w:cs="Arial"/>
          <w:sz w:val="24"/>
          <w:szCs w:val="24"/>
        </w:rPr>
      </w:pPr>
      <w:r w:rsidRPr="00E06BFD">
        <w:rPr>
          <w:rFonts w:ascii="Arial" w:eastAsia="Times New Roman" w:hAnsi="Arial" w:cs="Arial"/>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6BFD" w:rsidRPr="00E06BFD" w:rsidTr="00E06BFD">
        <w:trPr>
          <w:tblCellSpacing w:w="15" w:type="dxa"/>
        </w:trPr>
        <w:tc>
          <w:tcPr>
            <w:tcW w:w="0" w:type="auto"/>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p>
        </w:tc>
      </w:tr>
    </w:tbl>
    <w:p w:rsidR="00E06BFD" w:rsidRPr="00E06BFD" w:rsidRDefault="00E06BFD" w:rsidP="00E06BFD">
      <w:pPr>
        <w:spacing w:before="0" w:beforeAutospacing="0" w:after="0" w:afterAutospacing="0" w:line="240" w:lineRule="auto"/>
        <w:ind w:firstLine="0"/>
        <w:rPr>
          <w:rFonts w:ascii="Times New Roman" w:eastAsia="Times New Roman" w:hAnsi="Times New Roman" w:cs="Times New Roman"/>
          <w:vanish/>
          <w:sz w:val="24"/>
          <w:szCs w:val="24"/>
        </w:rPr>
      </w:pPr>
    </w:p>
    <w:tbl>
      <w:tblPr>
        <w:tblW w:w="10530" w:type="dxa"/>
        <w:tblCellSpacing w:w="0" w:type="dxa"/>
        <w:tblCellMar>
          <w:left w:w="0" w:type="dxa"/>
          <w:right w:w="0" w:type="dxa"/>
        </w:tblCellMar>
        <w:tblLook w:val="04A0" w:firstRow="1" w:lastRow="0" w:firstColumn="1" w:lastColumn="0" w:noHBand="0" w:noVBand="1"/>
      </w:tblPr>
      <w:tblGrid>
        <w:gridCol w:w="185"/>
        <w:gridCol w:w="10345"/>
      </w:tblGrid>
      <w:tr w:rsidR="00E06BFD" w:rsidRPr="00E06BFD" w:rsidTr="00E06BFD">
        <w:trPr>
          <w:tblCellSpacing w:w="0" w:type="dxa"/>
        </w:trPr>
        <w:tc>
          <w:tcPr>
            <w:tcW w:w="88" w:type="pct"/>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b/>
                <w:bCs/>
                <w:sz w:val="20"/>
                <w:szCs w:val="20"/>
              </w:rPr>
              <w:t>2.</w:t>
            </w:r>
          </w:p>
        </w:tc>
        <w:tc>
          <w:tcPr>
            <w:tcW w:w="4912" w:type="pct"/>
            <w:vAlign w:val="center"/>
            <w:hideMark/>
          </w:tcPr>
          <w:p w:rsidR="00E06BFD" w:rsidRPr="00E06BFD" w:rsidRDefault="00E06BFD" w:rsidP="00E06BFD">
            <w:pPr>
              <w:spacing w:before="0" w:beforeAutospacing="0" w:after="0" w:afterAutospacing="0" w:line="240" w:lineRule="auto"/>
              <w:ind w:firstLine="0"/>
              <w:textAlignment w:val="baseline"/>
              <w:rPr>
                <w:rFonts w:ascii="Arial" w:eastAsia="Times New Roman" w:hAnsi="Arial" w:cs="Arial"/>
                <w:sz w:val="20"/>
                <w:szCs w:val="20"/>
              </w:rPr>
            </w:pPr>
            <w:r w:rsidRPr="00E06BFD">
              <w:rPr>
                <w:rFonts w:ascii="Arial" w:eastAsia="Times New Roman" w:hAnsi="Arial" w:cs="Arial"/>
                <w:sz w:val="20"/>
                <w:szCs w:val="20"/>
              </w:rPr>
              <w:t>Prepare the 2016–2015 comparative income statements beginning with income before income taxes.</w:t>
            </w:r>
            <w:r w:rsidRPr="00E06BFD">
              <w:rPr>
                <w:rFonts w:ascii="Arial" w:eastAsia="Times New Roman" w:hAnsi="Arial" w:cs="Arial"/>
                <w:b/>
                <w:bCs/>
                <w:color w:val="FF0000"/>
                <w:sz w:val="20"/>
                <w:szCs w:val="20"/>
              </w:rPr>
              <w:t> (Round EPS answers to 2 decimal places.)</w:t>
            </w:r>
          </w:p>
        </w:tc>
      </w:tr>
      <w:tr w:rsidR="00E06BFD" w:rsidRPr="00E06BFD" w:rsidTr="00E06BFD">
        <w:trPr>
          <w:tblCellSpacing w:w="0" w:type="dxa"/>
        </w:trPr>
        <w:tc>
          <w:tcPr>
            <w:tcW w:w="88" w:type="pct"/>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c>
          <w:tcPr>
            <w:tcW w:w="4912" w:type="pct"/>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bl>
    <w:p w:rsidR="00E06BFD" w:rsidRPr="00E06BFD" w:rsidRDefault="00E06BFD" w:rsidP="00E06BFD">
      <w:pPr>
        <w:spacing w:before="0" w:beforeAutospacing="0" w:after="0" w:afterAutospacing="0" w:line="240" w:lineRule="auto"/>
        <w:ind w:firstLine="0"/>
        <w:rPr>
          <w:rFonts w:ascii="Arial" w:eastAsia="Times New Roman" w:hAnsi="Arial" w:cs="Arial"/>
          <w:sz w:val="24"/>
          <w:szCs w:val="24"/>
        </w:rPr>
      </w:pPr>
      <w:r w:rsidRPr="00E06BFD">
        <w:rPr>
          <w:rFonts w:ascii="Arial" w:eastAsia="Times New Roman" w:hAnsi="Arial" w:cs="Arial"/>
          <w:sz w:val="24"/>
          <w:szCs w:val="24"/>
        </w:rPr>
        <w:t>     </w:t>
      </w:r>
    </w:p>
    <w:tbl>
      <w:tblPr>
        <w:tblW w:w="10350" w:type="dxa"/>
        <w:tblCellSpacing w:w="0" w:type="dxa"/>
        <w:tblCellMar>
          <w:left w:w="0" w:type="dxa"/>
          <w:right w:w="0" w:type="dxa"/>
        </w:tblCellMar>
        <w:tblLook w:val="04A0" w:firstRow="1" w:lastRow="0" w:firstColumn="1" w:lastColumn="0" w:noHBand="0" w:noVBand="1"/>
      </w:tblPr>
      <w:tblGrid>
        <w:gridCol w:w="167"/>
        <w:gridCol w:w="10273"/>
      </w:tblGrid>
      <w:tr w:rsidR="00E06BFD" w:rsidRPr="00E06BFD" w:rsidTr="00E06BFD">
        <w:trPr>
          <w:tblCellSpacing w:w="0" w:type="dxa"/>
        </w:trPr>
        <w:tc>
          <w:tcPr>
            <w:tcW w:w="90" w:type="pct"/>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b/>
                <w:bCs/>
                <w:sz w:val="20"/>
                <w:szCs w:val="20"/>
              </w:rPr>
              <w:t>3.</w:t>
            </w:r>
          </w:p>
        </w:tc>
        <w:tc>
          <w:tcPr>
            <w:tcW w:w="4910" w:type="pct"/>
            <w:vAlign w:val="center"/>
            <w:hideMark/>
          </w:tcPr>
          <w:p w:rsidR="00E06BFD" w:rsidRDefault="00E06BFD" w:rsidP="00E06BFD">
            <w:pPr>
              <w:spacing w:before="0" w:beforeAutospacing="0" w:after="0" w:afterAutospacing="0" w:line="240" w:lineRule="auto"/>
              <w:ind w:firstLine="0"/>
              <w:textAlignment w:val="baseline"/>
              <w:rPr>
                <w:rFonts w:ascii="Arial" w:eastAsia="Times New Roman" w:hAnsi="Arial" w:cs="Arial"/>
                <w:sz w:val="20"/>
                <w:szCs w:val="20"/>
              </w:rPr>
            </w:pPr>
            <w:r w:rsidRPr="00E06BFD">
              <w:rPr>
                <w:rFonts w:ascii="Arial" w:eastAsia="Times New Roman" w:hAnsi="Arial" w:cs="Arial"/>
                <w:sz w:val="20"/>
                <w:szCs w:val="20"/>
              </w:rPr>
              <w:t>Prepare the 2016–2015 comparative statements of shareholders’ equity. (Hint: The 2014 statements reported retained earnings of $38,160. This is $63,600 – [$63,600 × 40%]).</w:t>
            </w:r>
          </w:p>
          <w:p w:rsidR="00E06BFD" w:rsidRDefault="00E06BFD" w:rsidP="00E06BFD">
            <w:pPr>
              <w:spacing w:before="0" w:beforeAutospacing="0" w:after="0" w:afterAutospacing="0" w:line="240" w:lineRule="auto"/>
              <w:ind w:firstLine="0"/>
              <w:textAlignment w:val="baseline"/>
              <w:rPr>
                <w:rFonts w:ascii="Arial" w:eastAsia="Times New Roman" w:hAnsi="Arial" w:cs="Arial"/>
                <w:sz w:val="20"/>
                <w:szCs w:val="20"/>
              </w:rPr>
            </w:pPr>
          </w:p>
          <w:p w:rsidR="00E06BFD" w:rsidRDefault="00E06BFD" w:rsidP="00E06BFD">
            <w:pPr>
              <w:spacing w:before="0" w:beforeAutospacing="0" w:after="0" w:afterAutospacing="0" w:line="240" w:lineRule="auto"/>
              <w:ind w:firstLine="0"/>
              <w:textAlignment w:val="baseline"/>
              <w:rPr>
                <w:rFonts w:ascii="Arial" w:eastAsia="Times New Roman" w:hAnsi="Arial" w:cs="Arial"/>
                <w:sz w:val="20"/>
                <w:szCs w:val="20"/>
              </w:rPr>
            </w:pPr>
          </w:p>
          <w:p w:rsidR="0092536D" w:rsidRPr="00E06BFD" w:rsidRDefault="0092536D" w:rsidP="00E06BFD">
            <w:pPr>
              <w:spacing w:before="0" w:beforeAutospacing="0" w:after="0" w:afterAutospacing="0" w:line="240" w:lineRule="auto"/>
              <w:ind w:firstLine="0"/>
              <w:textAlignment w:val="baseline"/>
              <w:rPr>
                <w:rFonts w:ascii="Arial" w:eastAsia="Times New Roman" w:hAnsi="Arial" w:cs="Arial"/>
                <w:b/>
                <w:i/>
                <w:sz w:val="20"/>
                <w:szCs w:val="20"/>
                <w:u w:val="single"/>
              </w:rPr>
            </w:pPr>
            <w:r w:rsidRPr="0092536D">
              <w:rPr>
                <w:rFonts w:ascii="Arial" w:eastAsia="Times New Roman" w:hAnsi="Arial" w:cs="Arial"/>
                <w:b/>
                <w:i/>
                <w:sz w:val="20"/>
                <w:szCs w:val="20"/>
                <w:u w:val="single"/>
              </w:rPr>
              <w:t>QUESTION 3</w:t>
            </w:r>
            <w:r>
              <w:rPr>
                <w:rFonts w:ascii="Arial" w:eastAsia="Times New Roman" w:hAnsi="Arial" w:cs="Arial"/>
                <w:b/>
                <w:i/>
                <w:sz w:val="20"/>
                <w:szCs w:val="20"/>
                <w:u w:val="single"/>
              </w:rPr>
              <w:t xml:space="preserve"> </w:t>
            </w:r>
          </w:p>
          <w:tbl>
            <w:tblPr>
              <w:tblW w:w="10254" w:type="dxa"/>
              <w:tblCellSpacing w:w="0" w:type="dxa"/>
              <w:shd w:val="clear" w:color="auto" w:fill="FFFFFF"/>
              <w:tblCellMar>
                <w:left w:w="0" w:type="dxa"/>
                <w:right w:w="0" w:type="dxa"/>
              </w:tblCellMar>
              <w:tblLook w:val="04A0" w:firstRow="1" w:lastRow="0" w:firstColumn="1" w:lastColumn="0" w:noHBand="0" w:noVBand="1"/>
            </w:tblPr>
            <w:tblGrid>
              <w:gridCol w:w="10254"/>
            </w:tblGrid>
            <w:tr w:rsidR="0092536D" w:rsidRPr="0092536D" w:rsidTr="0092536D">
              <w:trPr>
                <w:tblCellSpacing w:w="0" w:type="dxa"/>
              </w:trPr>
              <w:tc>
                <w:tcPr>
                  <w:tcW w:w="10254" w:type="dxa"/>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In 2016, the Marion Company purchased land containing a mineral mine for $1,670,000. Additional costs of $638,000 were incurred to develop the mine. Geologists estimated that 400,000 tons of ore would be extracted. After the ore is removed, the land will have a resale value of $108,000.</w:t>
                  </w:r>
                </w:p>
              </w:tc>
            </w:tr>
          </w:tbl>
          <w:p w:rsidR="0092536D" w:rsidRPr="0092536D" w:rsidRDefault="0092536D" w:rsidP="0092536D">
            <w:pPr>
              <w:spacing w:before="0" w:beforeAutospacing="0" w:after="0" w:afterAutospacing="0" w:line="240" w:lineRule="auto"/>
              <w:ind w:firstLine="0"/>
              <w:rPr>
                <w:rFonts w:ascii="Times New Roman" w:eastAsia="Times New Roman" w:hAnsi="Times New Roman" w:cs="Times New Roman"/>
                <w:vanish/>
                <w:sz w:val="24"/>
                <w:szCs w:val="24"/>
              </w:rPr>
            </w:pPr>
          </w:p>
          <w:tbl>
            <w:tblPr>
              <w:tblW w:w="10183" w:type="dxa"/>
              <w:tblCellSpacing w:w="0" w:type="dxa"/>
              <w:shd w:val="clear" w:color="auto" w:fill="FFFFFF"/>
              <w:tblCellMar>
                <w:left w:w="0" w:type="dxa"/>
                <w:right w:w="0" w:type="dxa"/>
              </w:tblCellMar>
              <w:tblLook w:val="04A0" w:firstRow="1" w:lastRow="0" w:firstColumn="1" w:lastColumn="0" w:noHBand="0" w:noVBand="1"/>
            </w:tblPr>
            <w:tblGrid>
              <w:gridCol w:w="10183"/>
            </w:tblGrid>
            <w:tr w:rsidR="0092536D" w:rsidRPr="0092536D" w:rsidTr="0092536D">
              <w:trPr>
                <w:tblCellSpacing w:w="0" w:type="dxa"/>
              </w:trPr>
              <w:tc>
                <w:tcPr>
                  <w:tcW w:w="10183" w:type="dxa"/>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     To aid in the extraction, Marion built various structures and small storage buildings on the site at a cost of $132,000. These structures have a useful life of 10 years. The structures cannot be moved after the ore has been removed and will be left at the site. In addition, new equipment costing $91,000 was purchased and installed at the site. Marion does not plan to move the equipment to another site, but estimates that it can be sold at auction for $3,000 after the mining project is completed.</w:t>
                  </w:r>
                </w:p>
              </w:tc>
            </w:tr>
          </w:tbl>
          <w:p w:rsidR="0092536D" w:rsidRPr="0092536D" w:rsidRDefault="0092536D" w:rsidP="0092536D">
            <w:pPr>
              <w:spacing w:before="0" w:beforeAutospacing="0" w:after="0" w:afterAutospacing="0" w:line="240" w:lineRule="auto"/>
              <w:ind w:firstLine="0"/>
              <w:rPr>
                <w:rFonts w:ascii="Times New Roman" w:eastAsia="Times New Roman" w:hAnsi="Times New Roman" w:cs="Times New Roman"/>
                <w:vanish/>
                <w:sz w:val="24"/>
                <w:szCs w:val="24"/>
              </w:rPr>
            </w:pPr>
          </w:p>
          <w:tbl>
            <w:tblPr>
              <w:tblW w:w="10183" w:type="dxa"/>
              <w:tblCellSpacing w:w="0" w:type="dxa"/>
              <w:shd w:val="clear" w:color="auto" w:fill="FFFFFF"/>
              <w:tblCellMar>
                <w:left w:w="0" w:type="dxa"/>
                <w:right w:w="0" w:type="dxa"/>
              </w:tblCellMar>
              <w:tblLook w:val="04A0" w:firstRow="1" w:lastRow="0" w:firstColumn="1" w:lastColumn="0" w:noHBand="0" w:noVBand="1"/>
            </w:tblPr>
            <w:tblGrid>
              <w:gridCol w:w="10183"/>
            </w:tblGrid>
            <w:tr w:rsidR="0092536D" w:rsidRPr="0092536D" w:rsidTr="0092536D">
              <w:trPr>
                <w:tblCellSpacing w:w="0" w:type="dxa"/>
              </w:trPr>
              <w:tc>
                <w:tcPr>
                  <w:tcW w:w="10183" w:type="dxa"/>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    In 2016, 57,000 tons of ore were extracted and sold. In 2017, the estimate of total tons of ore in the mine was revised from 400,000 to 434,300. During 2017, 91,000 tons were extracted.</w: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92536D" w:rsidRPr="0092536D" w:rsidTr="0092536D">
              <w:trPr>
                <w:tblCellSpacing w:w="0" w:type="dxa"/>
              </w:trPr>
              <w:tc>
                <w:tcPr>
                  <w:tcW w:w="0" w:type="auto"/>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b/>
                      <w:bCs/>
                      <w:color w:val="333333"/>
                      <w:sz w:val="20"/>
                      <w:szCs w:val="20"/>
                    </w:rPr>
                    <w:t>Required:</w:t>
                  </w:r>
                </w:p>
              </w:tc>
            </w:tr>
          </w:tbl>
          <w:p w:rsidR="0092536D" w:rsidRPr="0092536D" w:rsidRDefault="0092536D" w:rsidP="0092536D">
            <w:pPr>
              <w:spacing w:before="0" w:beforeAutospacing="0" w:after="0" w:afterAutospacing="0" w:line="240" w:lineRule="auto"/>
              <w:ind w:firstLine="0"/>
              <w:rPr>
                <w:rFonts w:ascii="Times New Roman" w:eastAsia="Times New Roman" w:hAnsi="Times New Roman" w:cs="Times New Roman"/>
                <w:vanish/>
                <w:sz w:val="24"/>
                <w:szCs w:val="24"/>
              </w:rPr>
            </w:pPr>
          </w:p>
          <w:tbl>
            <w:tblPr>
              <w:tblW w:w="10183" w:type="dxa"/>
              <w:tblCellSpacing w:w="0" w:type="dxa"/>
              <w:shd w:val="clear" w:color="auto" w:fill="FFFFFF"/>
              <w:tblCellMar>
                <w:left w:w="0" w:type="dxa"/>
                <w:right w:w="0" w:type="dxa"/>
              </w:tblCellMar>
              <w:tblLook w:val="04A0" w:firstRow="1" w:lastRow="0" w:firstColumn="1" w:lastColumn="0" w:noHBand="0" w:noVBand="1"/>
            </w:tblPr>
            <w:tblGrid>
              <w:gridCol w:w="185"/>
              <w:gridCol w:w="9998"/>
            </w:tblGrid>
            <w:tr w:rsidR="0092536D" w:rsidRPr="0092536D" w:rsidTr="0092536D">
              <w:trPr>
                <w:tblCellSpacing w:w="0" w:type="dxa"/>
              </w:trPr>
              <w:tc>
                <w:tcPr>
                  <w:tcW w:w="91"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b/>
                      <w:bCs/>
                      <w:color w:val="333333"/>
                      <w:sz w:val="20"/>
                      <w:szCs w:val="20"/>
                    </w:rPr>
                    <w:t>1.</w:t>
                  </w:r>
                </w:p>
              </w:tc>
              <w:tc>
                <w:tcPr>
                  <w:tcW w:w="4909" w:type="pct"/>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Compute depletion and depreciation of the mine and the mining facilities and equipment for 2016 and 2017. Marion uses the units-of-production method to determine depreciation on mining facilities and equipment. </w:t>
                  </w:r>
                  <w:r w:rsidRPr="0092536D">
                    <w:rPr>
                      <w:rFonts w:ascii="Arial" w:eastAsia="Times New Roman" w:hAnsi="Arial" w:cs="Arial"/>
                      <w:b/>
                      <w:bCs/>
                      <w:color w:val="FF0000"/>
                      <w:sz w:val="20"/>
                      <w:szCs w:val="20"/>
                    </w:rPr>
                    <w:t>(Round the intermediate calculation to 3 decimal places.)</w:t>
                  </w:r>
                </w:p>
              </w:tc>
            </w:tr>
            <w:tr w:rsidR="0092536D" w:rsidRPr="0092536D" w:rsidTr="0092536D">
              <w:trPr>
                <w:tblCellSpacing w:w="0" w:type="dxa"/>
              </w:trPr>
              <w:tc>
                <w:tcPr>
                  <w:tcW w:w="91"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4909" w:type="pct"/>
                  <w:shd w:val="clear" w:color="auto" w:fill="FFFFFF"/>
                  <w:vAlign w:val="center"/>
                  <w:hideMark/>
                </w:tcPr>
                <w:p w:rsidR="0092536D" w:rsidRDefault="0092536D" w:rsidP="002B7989">
                  <w:pPr>
                    <w:numPr>
                      <w:ilvl w:val="0"/>
                      <w:numId w:val="10"/>
                    </w:numPr>
                    <w:spacing w:before="0" w:beforeAutospacing="0" w:after="0" w:afterAutospacing="0" w:line="240" w:lineRule="auto"/>
                    <w:rPr>
                      <w:rFonts w:ascii="Verdana" w:eastAsia="Times New Roman" w:hAnsi="Verdana" w:cs="Times New Roman"/>
                      <w:color w:val="000000"/>
                      <w:sz w:val="20"/>
                      <w:szCs w:val="20"/>
                    </w:rPr>
                  </w:pPr>
                  <w:r w:rsidRPr="0092536D">
                    <w:rPr>
                      <w:rFonts w:ascii="Arial" w:eastAsia="Times New Roman" w:hAnsi="Arial" w:cs="Arial"/>
                      <w:color w:val="333333"/>
                      <w:sz w:val="20"/>
                      <w:szCs w:val="20"/>
                    </w:rPr>
                    <w:t> </w:t>
                  </w:r>
                  <w:r w:rsidRPr="0092536D">
                    <w:rPr>
                      <w:rFonts w:ascii="Verdana" w:eastAsia="Times New Roman" w:hAnsi="Verdana" w:cs="Times New Roman"/>
                      <w:color w:val="000000"/>
                      <w:sz w:val="20"/>
                      <w:szCs w:val="20"/>
                    </w:rPr>
                    <w:t>Record entry necessary as a direct result of the change or error correction.</w:t>
                  </w:r>
                </w:p>
                <w:p w:rsidR="002B7989" w:rsidRPr="002B7989" w:rsidRDefault="002B7989" w:rsidP="002B7989">
                  <w:pPr>
                    <w:numPr>
                      <w:ilvl w:val="0"/>
                      <w:numId w:val="10"/>
                    </w:numPr>
                    <w:spacing w:before="0" w:beforeAutospacing="0" w:after="0" w:afterAutospacing="0" w:line="240" w:lineRule="auto"/>
                    <w:rPr>
                      <w:rFonts w:ascii="Verdana" w:eastAsia="Times New Roman" w:hAnsi="Verdana" w:cs="Times New Roman"/>
                      <w:color w:val="000000"/>
                      <w:sz w:val="20"/>
                      <w:szCs w:val="20"/>
                    </w:rPr>
                  </w:pPr>
                  <w:r w:rsidRPr="002B7989">
                    <w:rPr>
                      <w:rFonts w:ascii="Verdana" w:eastAsia="Times New Roman" w:hAnsi="Verdana" w:cs="Times New Roman"/>
                      <w:color w:val="000000"/>
                      <w:sz w:val="20"/>
                      <w:szCs w:val="20"/>
                    </w:rPr>
                    <w:t>Record adjusting journal entry if needed for 2016.</w:t>
                  </w:r>
                </w:p>
                <w:p w:rsidR="002B7989" w:rsidRPr="0092536D" w:rsidRDefault="002B7989" w:rsidP="002B7989">
                  <w:pPr>
                    <w:spacing w:before="0" w:beforeAutospacing="0" w:after="0" w:afterAutospacing="0" w:line="240" w:lineRule="auto"/>
                    <w:ind w:left="360" w:firstLine="0"/>
                    <w:rPr>
                      <w:rFonts w:ascii="Verdana" w:eastAsia="Times New Roman" w:hAnsi="Verdana" w:cs="Times New Roman"/>
                      <w:color w:val="000000"/>
                      <w:sz w:val="20"/>
                      <w:szCs w:val="20"/>
                    </w:rPr>
                  </w:pPr>
                </w:p>
                <w:p w:rsidR="002B7989" w:rsidRDefault="002B7989" w:rsidP="002B7989">
                  <w:pPr>
                    <w:numPr>
                      <w:ilvl w:val="0"/>
                      <w:numId w:val="10"/>
                    </w:numPr>
                    <w:spacing w:before="0" w:beforeAutospacing="0" w:after="0" w:afterAutospacing="0" w:line="240" w:lineRule="auto"/>
                    <w:rPr>
                      <w:rFonts w:ascii="Verdana" w:eastAsia="Times New Roman" w:hAnsi="Verdana" w:cs="Times New Roman"/>
                      <w:color w:val="000000"/>
                      <w:sz w:val="20"/>
                      <w:szCs w:val="20"/>
                    </w:rPr>
                  </w:pPr>
                  <w:r w:rsidRPr="002B7989">
                    <w:rPr>
                      <w:rFonts w:ascii="Verdana" w:eastAsia="Times New Roman" w:hAnsi="Verdana" w:cs="Times New Roman"/>
                      <w:color w:val="000000"/>
                      <w:sz w:val="20"/>
                      <w:szCs w:val="20"/>
                    </w:rPr>
                    <w:t>Record entry necessary as a direct result of the change or error correction.</w:t>
                  </w:r>
                </w:p>
                <w:p w:rsidR="002B7989" w:rsidRPr="002B7989" w:rsidRDefault="002B7989" w:rsidP="002B7989">
                  <w:pPr>
                    <w:numPr>
                      <w:ilvl w:val="0"/>
                      <w:numId w:val="10"/>
                    </w:numPr>
                    <w:spacing w:before="0" w:beforeAutospacing="0" w:after="0" w:afterAutospacing="0" w:line="240" w:lineRule="auto"/>
                    <w:rPr>
                      <w:rFonts w:ascii="Verdana" w:eastAsia="Times New Roman" w:hAnsi="Verdana" w:cs="Times New Roman"/>
                      <w:color w:val="000000"/>
                      <w:sz w:val="20"/>
                      <w:szCs w:val="20"/>
                    </w:rPr>
                  </w:pPr>
                  <w:r w:rsidRPr="002B7989">
                    <w:rPr>
                      <w:rFonts w:ascii="Verdana" w:eastAsia="Times New Roman" w:hAnsi="Verdana" w:cs="Times New Roman"/>
                      <w:color w:val="000000"/>
                      <w:sz w:val="20"/>
                      <w:szCs w:val="20"/>
                    </w:rPr>
                    <w:lastRenderedPageBreak/>
                    <w:t>Record adjusting journal entry if needed for 2016.</w:t>
                  </w:r>
                </w:p>
                <w:p w:rsidR="002B7989" w:rsidRPr="002B7989" w:rsidRDefault="002B7989" w:rsidP="002B7989">
                  <w:pPr>
                    <w:spacing w:before="0" w:beforeAutospacing="0" w:after="0" w:afterAutospacing="0" w:line="240" w:lineRule="auto"/>
                    <w:ind w:firstLine="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p>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lastRenderedPageBreak/>
              <w:t>      </w:t>
            </w:r>
          </w:p>
          <w:tbl>
            <w:tblPr>
              <w:tblW w:w="10183" w:type="dxa"/>
              <w:tblCellSpacing w:w="0" w:type="dxa"/>
              <w:shd w:val="clear" w:color="auto" w:fill="FFFFFF"/>
              <w:tblCellMar>
                <w:left w:w="0" w:type="dxa"/>
                <w:right w:w="0" w:type="dxa"/>
              </w:tblCellMar>
              <w:tblLook w:val="04A0" w:firstRow="1" w:lastRow="0" w:firstColumn="1" w:lastColumn="0" w:noHBand="0" w:noVBand="1"/>
            </w:tblPr>
            <w:tblGrid>
              <w:gridCol w:w="167"/>
              <w:gridCol w:w="10106"/>
            </w:tblGrid>
            <w:tr w:rsidR="0092536D" w:rsidRPr="0092536D" w:rsidTr="0092536D">
              <w:trPr>
                <w:tblCellSpacing w:w="0" w:type="dxa"/>
              </w:trPr>
              <w:tc>
                <w:tcPr>
                  <w:tcW w:w="91"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b/>
                      <w:bCs/>
                      <w:color w:val="333333"/>
                      <w:sz w:val="20"/>
                      <w:szCs w:val="20"/>
                    </w:rPr>
                    <w:t>2.</w:t>
                  </w:r>
                </w:p>
              </w:tc>
              <w:tc>
                <w:tcPr>
                  <w:tcW w:w="4909" w:type="pct"/>
                  <w:shd w:val="clear" w:color="auto" w:fill="FFFFFF"/>
                  <w:vAlign w:val="center"/>
                  <w:hideMark/>
                </w:tcPr>
                <w:p w:rsidR="0092536D" w:rsidRDefault="0092536D" w:rsidP="0092536D">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92536D">
                    <w:rPr>
                      <w:rFonts w:ascii="Arial" w:eastAsia="Times New Roman" w:hAnsi="Arial" w:cs="Arial"/>
                      <w:color w:val="333333"/>
                      <w:sz w:val="20"/>
                      <w:szCs w:val="20"/>
                    </w:rPr>
                    <w:t>Compute the book value of the mineral mine, structures, and equipment as of December 31, 2017. </w:t>
                  </w:r>
                  <w:r w:rsidRPr="0092536D">
                    <w:rPr>
                      <w:rFonts w:ascii="Arial" w:eastAsia="Times New Roman" w:hAnsi="Arial" w:cs="Arial"/>
                      <w:b/>
                      <w:bCs/>
                      <w:color w:val="FF0000"/>
                      <w:sz w:val="20"/>
                      <w:szCs w:val="20"/>
                    </w:rPr>
                    <w:t>(Round the intermediate calculation to 3 decimal places.)</w:t>
                  </w:r>
                </w:p>
                <w:p w:rsidR="002B7989" w:rsidRDefault="002B7989" w:rsidP="0092536D">
                  <w:pPr>
                    <w:spacing w:before="0" w:beforeAutospacing="0" w:after="0" w:afterAutospacing="0" w:line="240" w:lineRule="auto"/>
                    <w:ind w:firstLine="0"/>
                    <w:textAlignment w:val="baseline"/>
                    <w:rPr>
                      <w:rFonts w:ascii="Arial" w:eastAsia="Times New Roman" w:hAnsi="Arial" w:cs="Arial"/>
                      <w:b/>
                      <w:bCs/>
                      <w:color w:val="FF0000"/>
                      <w:sz w:val="20"/>
                      <w:szCs w:val="20"/>
                    </w:rPr>
                  </w:pP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FF0000"/>
                      <w:sz w:val="20"/>
                      <w:szCs w:val="20"/>
                      <w:u w:val="single"/>
                    </w:rPr>
                  </w:pPr>
                  <w:r>
                    <w:rPr>
                      <w:rFonts w:ascii="Arial" w:eastAsia="Times New Roman" w:hAnsi="Arial" w:cs="Arial"/>
                      <w:b/>
                      <w:bCs/>
                      <w:color w:val="FF0000"/>
                      <w:sz w:val="20"/>
                      <w:szCs w:val="20"/>
                    </w:rPr>
                    <w:t xml:space="preserve">                                          </w:t>
                  </w:r>
                  <w:r w:rsidRPr="00AC37FF">
                    <w:rPr>
                      <w:rFonts w:ascii="Arial" w:eastAsia="Times New Roman" w:hAnsi="Arial" w:cs="Arial"/>
                      <w:b/>
                      <w:bCs/>
                      <w:sz w:val="20"/>
                      <w:szCs w:val="20"/>
                      <w:u w:val="single"/>
                    </w:rPr>
                    <w:t>ASSETS         LIABILITY  SHAREHOLDERS EQUITY  NET INCOME   EXPENSES</w:t>
                  </w:r>
                </w:p>
                <w:p w:rsidR="002B7989"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u w:val="single"/>
                    </w:rPr>
                  </w:pPr>
                  <w:r w:rsidRPr="00AC37FF">
                    <w:rPr>
                      <w:rFonts w:ascii="Arial" w:eastAsia="Times New Roman" w:hAnsi="Arial" w:cs="Arial"/>
                      <w:b/>
                      <w:bCs/>
                      <w:color w:val="000000" w:themeColor="text1"/>
                      <w:sz w:val="20"/>
                      <w:szCs w:val="20"/>
                      <w:u w:val="single"/>
                    </w:rPr>
                    <w:t>2014</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2014 inventory</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Loss contingency</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Patent amortization</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Depreciation</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2015</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2014 inventory</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2015 inventory</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Loss contingency</w:t>
                  </w:r>
                </w:p>
                <w:p w:rsidR="00AC37FF" w:rsidRPr="00AC37FF" w:rsidRDefault="00AC37FF" w:rsidP="0092536D">
                  <w:pPr>
                    <w:spacing w:before="0" w:beforeAutospacing="0" w:after="0" w:afterAutospacing="0" w:line="240" w:lineRule="auto"/>
                    <w:ind w:firstLine="0"/>
                    <w:textAlignment w:val="baseline"/>
                    <w:rPr>
                      <w:rFonts w:ascii="Arial" w:eastAsia="Times New Roman" w:hAnsi="Arial" w:cs="Arial"/>
                      <w:b/>
                      <w:bCs/>
                      <w:color w:val="000000" w:themeColor="text1"/>
                      <w:sz w:val="20"/>
                      <w:szCs w:val="20"/>
                    </w:rPr>
                  </w:pPr>
                  <w:r w:rsidRPr="00AC37FF">
                    <w:rPr>
                      <w:rFonts w:ascii="Arial" w:eastAsia="Times New Roman" w:hAnsi="Arial" w:cs="Arial"/>
                      <w:b/>
                      <w:bCs/>
                      <w:color w:val="000000" w:themeColor="text1"/>
                      <w:sz w:val="20"/>
                      <w:szCs w:val="20"/>
                    </w:rPr>
                    <w:t>depreciation</w:t>
                  </w:r>
                </w:p>
                <w:p w:rsidR="00AC37FF" w:rsidRDefault="00AC37FF" w:rsidP="0092536D">
                  <w:pPr>
                    <w:spacing w:before="0" w:beforeAutospacing="0" w:after="0" w:afterAutospacing="0" w:line="240" w:lineRule="auto"/>
                    <w:ind w:firstLine="0"/>
                    <w:textAlignment w:val="baseline"/>
                    <w:rPr>
                      <w:rFonts w:ascii="Arial" w:eastAsia="Times New Roman" w:hAnsi="Arial" w:cs="Arial"/>
                      <w:b/>
                      <w:bCs/>
                      <w:color w:val="FF0000"/>
                      <w:sz w:val="20"/>
                      <w:szCs w:val="20"/>
                    </w:rPr>
                  </w:pPr>
                </w:p>
                <w:p w:rsidR="0092536D" w:rsidRPr="00AC37FF" w:rsidRDefault="00AC37FF" w:rsidP="0092536D">
                  <w:pPr>
                    <w:spacing w:before="0" w:beforeAutospacing="0" w:after="0" w:afterAutospacing="0" w:line="240" w:lineRule="auto"/>
                    <w:ind w:firstLine="0"/>
                    <w:textAlignment w:val="baseline"/>
                    <w:rPr>
                      <w:rFonts w:ascii="Arial" w:eastAsia="Times New Roman" w:hAnsi="Arial" w:cs="Arial"/>
                      <w:sz w:val="20"/>
                      <w:szCs w:val="20"/>
                      <w:u w:val="single"/>
                    </w:rPr>
                  </w:pPr>
                  <w:r>
                    <w:rPr>
                      <w:rFonts w:ascii="Arial" w:eastAsia="Times New Roman" w:hAnsi="Arial" w:cs="Arial"/>
                      <w:b/>
                      <w:bCs/>
                      <w:sz w:val="20"/>
                      <w:szCs w:val="20"/>
                      <w:u w:val="single"/>
                    </w:rPr>
                    <w:t>QUESTION 4</w:t>
                  </w:r>
                  <w:r w:rsidR="0092536D" w:rsidRPr="00AC37FF">
                    <w:rPr>
                      <w:rFonts w:ascii="Arial" w:eastAsia="Times New Roman" w:hAnsi="Arial" w:cs="Arial"/>
                      <w:b/>
                      <w:bCs/>
                      <w:sz w:val="20"/>
                      <w:szCs w:val="20"/>
                      <w:u w:val="single"/>
                    </w:rPr>
                    <w:t xml:space="preserve"> </w:t>
                  </w:r>
                </w:p>
                <w:tbl>
                  <w:tblPr>
                    <w:tblW w:w="10016" w:type="dxa"/>
                    <w:tblCellSpacing w:w="0" w:type="dxa"/>
                    <w:shd w:val="clear" w:color="auto" w:fill="FFFFFF"/>
                    <w:tblCellMar>
                      <w:left w:w="0" w:type="dxa"/>
                      <w:right w:w="0" w:type="dxa"/>
                    </w:tblCellMar>
                    <w:tblLook w:val="04A0" w:firstRow="1" w:lastRow="0" w:firstColumn="1" w:lastColumn="0" w:noHBand="0" w:noVBand="1"/>
                  </w:tblPr>
                  <w:tblGrid>
                    <w:gridCol w:w="10016"/>
                  </w:tblGrid>
                  <w:tr w:rsidR="0092536D" w:rsidRPr="0092536D" w:rsidTr="00460541">
                    <w:trPr>
                      <w:tblCellSpacing w:w="0" w:type="dxa"/>
                    </w:trPr>
                    <w:tc>
                      <w:tcPr>
                        <w:tcW w:w="10016" w:type="dxa"/>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Whaley Distributors is a wholesale distributor of electronic components. Financial statements for the years ended December 31, 2014 and 2015, reported the following amounts and subtotals ($ in millions):</w: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4200" w:type="dxa"/>
                    <w:tblCellSpacing w:w="0" w:type="dxa"/>
                    <w:shd w:val="clear" w:color="auto" w:fill="FFFFFF"/>
                    <w:tblCellMar>
                      <w:left w:w="0" w:type="dxa"/>
                      <w:right w:w="0" w:type="dxa"/>
                    </w:tblCellMar>
                    <w:tblLook w:val="04A0" w:firstRow="1" w:lastRow="0" w:firstColumn="1" w:lastColumn="0" w:noHBand="0" w:noVBand="1"/>
                  </w:tblPr>
                  <w:tblGrid>
                    <w:gridCol w:w="557"/>
                    <w:gridCol w:w="263"/>
                    <w:gridCol w:w="335"/>
                    <w:gridCol w:w="262"/>
                    <w:gridCol w:w="366"/>
                    <w:gridCol w:w="335"/>
                    <w:gridCol w:w="365"/>
                    <w:gridCol w:w="553"/>
                    <w:gridCol w:w="335"/>
                    <w:gridCol w:w="552"/>
                    <w:gridCol w:w="287"/>
                    <w:gridCol w:w="334"/>
                    <w:gridCol w:w="287"/>
                    <w:gridCol w:w="391"/>
                    <w:gridCol w:w="335"/>
                    <w:gridCol w:w="390"/>
                  </w:tblGrid>
                  <w:tr w:rsidR="0092536D" w:rsidRPr="0092536D" w:rsidTr="0092536D">
                    <w:trPr>
                      <w:tblCellSpacing w:w="0" w:type="dxa"/>
                    </w:trPr>
                    <w:tc>
                      <w:tcPr>
                        <w:tcW w:w="0" w:type="auto"/>
                        <w:shd w:val="clear" w:color="auto" w:fill="D7DCE6"/>
                        <w:vAlign w:val="bottom"/>
                        <w:hideMark/>
                      </w:tcPr>
                      <w:p w:rsidR="0092536D" w:rsidRPr="0092536D" w:rsidRDefault="0092536D" w:rsidP="0092536D">
                        <w:pPr>
                          <w:spacing w:before="0" w:beforeAutospacing="0" w:after="0" w:afterAutospacing="0" w:line="240" w:lineRule="auto"/>
                          <w:ind w:firstLine="0"/>
                          <w:jc w:val="center"/>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gridSpan w:val="3"/>
                        <w:shd w:val="clear" w:color="auto" w:fill="D7DCE6"/>
                        <w:vAlign w:val="bottom"/>
                        <w:hideMark/>
                      </w:tcPr>
                      <w:p w:rsidR="0092536D" w:rsidRPr="0092536D" w:rsidRDefault="0092536D" w:rsidP="0092536D">
                        <w:pPr>
                          <w:spacing w:before="0" w:beforeAutospacing="0" w:after="0" w:afterAutospacing="0" w:line="240" w:lineRule="auto"/>
                          <w:ind w:firstLine="0"/>
                          <w:jc w:val="center"/>
                          <w:rPr>
                            <w:rFonts w:ascii="Arial" w:eastAsia="Times New Roman" w:hAnsi="Arial" w:cs="Arial"/>
                            <w:color w:val="333333"/>
                            <w:sz w:val="20"/>
                            <w:szCs w:val="20"/>
                          </w:rPr>
                        </w:pPr>
                        <w:r w:rsidRPr="0092536D">
                          <w:rPr>
                            <w:rFonts w:ascii="Arial" w:eastAsia="Times New Roman" w:hAnsi="Arial" w:cs="Arial"/>
                            <w:color w:val="333333"/>
                            <w:sz w:val="20"/>
                            <w:szCs w:val="20"/>
                          </w:rPr>
                          <w:t>Assets</w:t>
                        </w:r>
                      </w:p>
                    </w:tc>
                    <w:tc>
                      <w:tcPr>
                        <w:tcW w:w="0" w:type="auto"/>
                        <w:gridSpan w:val="3"/>
                        <w:shd w:val="clear" w:color="auto" w:fill="D7DCE6"/>
                        <w:vAlign w:val="bottom"/>
                        <w:hideMark/>
                      </w:tcPr>
                      <w:p w:rsidR="0092536D" w:rsidRPr="0092536D" w:rsidRDefault="0092536D" w:rsidP="0092536D">
                        <w:pPr>
                          <w:spacing w:before="0" w:beforeAutospacing="0" w:after="0" w:afterAutospacing="0" w:line="240" w:lineRule="auto"/>
                          <w:ind w:firstLine="0"/>
                          <w:jc w:val="center"/>
                          <w:rPr>
                            <w:rFonts w:ascii="Arial" w:eastAsia="Times New Roman" w:hAnsi="Arial" w:cs="Arial"/>
                            <w:color w:val="333333"/>
                            <w:sz w:val="20"/>
                            <w:szCs w:val="20"/>
                          </w:rPr>
                        </w:pPr>
                        <w:r w:rsidRPr="0092536D">
                          <w:rPr>
                            <w:rFonts w:ascii="Arial" w:eastAsia="Times New Roman" w:hAnsi="Arial" w:cs="Arial"/>
                            <w:color w:val="333333"/>
                            <w:sz w:val="20"/>
                            <w:szCs w:val="20"/>
                          </w:rPr>
                          <w:t>Liabilities</w:t>
                        </w:r>
                      </w:p>
                    </w:tc>
                    <w:tc>
                      <w:tcPr>
                        <w:tcW w:w="0" w:type="auto"/>
                        <w:gridSpan w:val="3"/>
                        <w:shd w:val="clear" w:color="auto" w:fill="D7DCE6"/>
                        <w:vAlign w:val="bottom"/>
                        <w:hideMark/>
                      </w:tcPr>
                      <w:p w:rsidR="0092536D" w:rsidRPr="0092536D" w:rsidRDefault="0092536D" w:rsidP="0092536D">
                        <w:pPr>
                          <w:spacing w:before="0" w:beforeAutospacing="0" w:after="0" w:afterAutospacing="0" w:line="240" w:lineRule="auto"/>
                          <w:ind w:firstLine="0"/>
                          <w:jc w:val="center"/>
                          <w:rPr>
                            <w:rFonts w:ascii="Arial" w:eastAsia="Times New Roman" w:hAnsi="Arial" w:cs="Arial"/>
                            <w:color w:val="333333"/>
                            <w:sz w:val="20"/>
                            <w:szCs w:val="20"/>
                          </w:rPr>
                        </w:pPr>
                        <w:r w:rsidRPr="0092536D">
                          <w:rPr>
                            <w:rFonts w:ascii="Arial" w:eastAsia="Times New Roman" w:hAnsi="Arial" w:cs="Arial"/>
                            <w:color w:val="333333"/>
                            <w:sz w:val="20"/>
                            <w:szCs w:val="20"/>
                          </w:rPr>
                          <w:t>Shareholders'</w:t>
                        </w:r>
                        <w:r w:rsidRPr="0092536D">
                          <w:rPr>
                            <w:rFonts w:ascii="Arial" w:eastAsia="Times New Roman" w:hAnsi="Arial" w:cs="Arial"/>
                            <w:color w:val="333333"/>
                            <w:sz w:val="20"/>
                            <w:szCs w:val="20"/>
                          </w:rPr>
                          <w:br/>
                          <w:t>Equity</w:t>
                        </w:r>
                      </w:p>
                    </w:tc>
                    <w:tc>
                      <w:tcPr>
                        <w:tcW w:w="0" w:type="auto"/>
                        <w:gridSpan w:val="3"/>
                        <w:shd w:val="clear" w:color="auto" w:fill="D7DCE6"/>
                        <w:vAlign w:val="bottom"/>
                        <w:hideMark/>
                      </w:tcPr>
                      <w:p w:rsidR="0092536D" w:rsidRPr="0092536D" w:rsidRDefault="0092536D" w:rsidP="0092536D">
                        <w:pPr>
                          <w:spacing w:before="0" w:beforeAutospacing="0" w:after="0" w:afterAutospacing="0" w:line="240" w:lineRule="auto"/>
                          <w:ind w:firstLine="0"/>
                          <w:jc w:val="center"/>
                          <w:rPr>
                            <w:rFonts w:ascii="Arial" w:eastAsia="Times New Roman" w:hAnsi="Arial" w:cs="Arial"/>
                            <w:color w:val="333333"/>
                            <w:sz w:val="20"/>
                            <w:szCs w:val="20"/>
                          </w:rPr>
                        </w:pPr>
                        <w:r w:rsidRPr="0092536D">
                          <w:rPr>
                            <w:rFonts w:ascii="Arial" w:eastAsia="Times New Roman" w:hAnsi="Arial" w:cs="Arial"/>
                            <w:color w:val="333333"/>
                            <w:sz w:val="20"/>
                            <w:szCs w:val="20"/>
                          </w:rPr>
                          <w:t>Net Income</w:t>
                        </w:r>
                      </w:p>
                    </w:tc>
                    <w:tc>
                      <w:tcPr>
                        <w:tcW w:w="0" w:type="auto"/>
                        <w:gridSpan w:val="3"/>
                        <w:shd w:val="clear" w:color="auto" w:fill="D7DCE6"/>
                        <w:vAlign w:val="bottom"/>
                        <w:hideMark/>
                      </w:tcPr>
                      <w:p w:rsidR="0092536D" w:rsidRPr="0092536D" w:rsidRDefault="0092536D" w:rsidP="0092536D">
                        <w:pPr>
                          <w:spacing w:before="0" w:beforeAutospacing="0" w:after="0" w:afterAutospacing="0" w:line="240" w:lineRule="auto"/>
                          <w:ind w:firstLine="0"/>
                          <w:jc w:val="center"/>
                          <w:rPr>
                            <w:rFonts w:ascii="Arial" w:eastAsia="Times New Roman" w:hAnsi="Arial" w:cs="Arial"/>
                            <w:color w:val="333333"/>
                            <w:sz w:val="20"/>
                            <w:szCs w:val="20"/>
                          </w:rPr>
                        </w:pPr>
                        <w:r w:rsidRPr="0092536D">
                          <w:rPr>
                            <w:rFonts w:ascii="Arial" w:eastAsia="Times New Roman" w:hAnsi="Arial" w:cs="Arial"/>
                            <w:color w:val="333333"/>
                            <w:sz w:val="20"/>
                            <w:szCs w:val="20"/>
                          </w:rPr>
                          <w:t>Expenses</w:t>
                        </w:r>
                      </w:p>
                    </w:tc>
                  </w:tr>
                  <w:tr w:rsidR="0092536D" w:rsidRPr="0092536D" w:rsidTr="0092536D">
                    <w:trPr>
                      <w:tblCellSpacing w:w="0" w:type="dxa"/>
                    </w:trPr>
                    <w:tc>
                      <w:tcPr>
                        <w:tcW w:w="600" w:type="pct"/>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2014</w:t>
                        </w:r>
                      </w:p>
                    </w:tc>
                    <w:tc>
                      <w:tcPr>
                        <w:tcW w:w="35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w:t>
                        </w:r>
                      </w:p>
                    </w:tc>
                    <w:tc>
                      <w:tcPr>
                        <w:tcW w:w="1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810</w:t>
                        </w:r>
                      </w:p>
                    </w:tc>
                    <w:tc>
                      <w:tcPr>
                        <w:tcW w:w="35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4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w:t>
                        </w:r>
                      </w:p>
                    </w:tc>
                    <w:tc>
                      <w:tcPr>
                        <w:tcW w:w="1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365</w:t>
                        </w:r>
                      </w:p>
                    </w:tc>
                    <w:tc>
                      <w:tcPr>
                        <w:tcW w:w="4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45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w:t>
                        </w:r>
                      </w:p>
                    </w:tc>
                    <w:tc>
                      <w:tcPr>
                        <w:tcW w:w="1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445</w:t>
                        </w:r>
                      </w:p>
                    </w:tc>
                    <w:tc>
                      <w:tcPr>
                        <w:tcW w:w="45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35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w:t>
                        </w:r>
                      </w:p>
                    </w:tc>
                    <w:tc>
                      <w:tcPr>
                        <w:tcW w:w="1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245</w:t>
                        </w:r>
                      </w:p>
                    </w:tc>
                    <w:tc>
                      <w:tcPr>
                        <w:tcW w:w="35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4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w:t>
                        </w:r>
                      </w:p>
                    </w:tc>
                    <w:tc>
                      <w:tcPr>
                        <w:tcW w:w="1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157</w:t>
                        </w:r>
                      </w:p>
                    </w:tc>
                    <w:tc>
                      <w:tcPr>
                        <w:tcW w:w="4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r>
                  <w:tr w:rsidR="0092536D" w:rsidRPr="0092536D" w:rsidTr="0092536D">
                    <w:trPr>
                      <w:tblCellSpacing w:w="0" w:type="dxa"/>
                    </w:trPr>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2015</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890</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435</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455</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265</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182</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r>
                  <w:tr w:rsidR="0092536D" w:rsidRPr="0092536D" w:rsidTr="0092536D">
                    <w:trPr>
                      <w:tblCellSpacing w:w="0" w:type="dxa"/>
                    </w:trPr>
                    <w:tc>
                      <w:tcPr>
                        <w:tcW w:w="0" w:type="auto"/>
                        <w:gridSpan w:val="16"/>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pict>
                            <v:rect id="_x0000_i1058" style="width:22in;height:3.75pt" o:hrstd="t" o:hrnoshade="t" o:hr="t" fillcolor="#cdd4e0" stroked="f"/>
                          </w:pic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92536D" w:rsidRPr="0092536D" w:rsidTr="0092536D">
                    <w:trPr>
                      <w:tblCellSpacing w:w="0" w:type="dxa"/>
                    </w:trPr>
                    <w:tc>
                      <w:tcPr>
                        <w:tcW w:w="0" w:type="auto"/>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In 2016 the following situations occurred or came to light:</w: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9656" w:type="dxa"/>
                    <w:tblCellSpacing w:w="0" w:type="dxa"/>
                    <w:shd w:val="clear" w:color="auto" w:fill="FFFFFF"/>
                    <w:tblCellMar>
                      <w:left w:w="0" w:type="dxa"/>
                      <w:right w:w="0" w:type="dxa"/>
                    </w:tblCellMar>
                    <w:tblLook w:val="04A0" w:firstRow="1" w:lastRow="0" w:firstColumn="1" w:lastColumn="0" w:noHBand="0" w:noVBand="1"/>
                  </w:tblPr>
                  <w:tblGrid>
                    <w:gridCol w:w="185"/>
                    <w:gridCol w:w="9471"/>
                  </w:tblGrid>
                  <w:tr w:rsidR="0092536D" w:rsidRPr="0092536D" w:rsidTr="00460541">
                    <w:trPr>
                      <w:tblCellSpacing w:w="0" w:type="dxa"/>
                    </w:trPr>
                    <w:tc>
                      <w:tcPr>
                        <w:tcW w:w="96"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a.</w:t>
                        </w:r>
                      </w:p>
                    </w:tc>
                    <w:tc>
                      <w:tcPr>
                        <w:tcW w:w="4904" w:type="pct"/>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Internal auditors discovered that ending inventories reported on the financial statements the two previous years were misstated due to faulty internal controls. The errors were in the following amounts:</w: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3200" w:type="dxa"/>
                    <w:tblCellSpacing w:w="0" w:type="dxa"/>
                    <w:tblInd w:w="300" w:type="dxa"/>
                    <w:shd w:val="clear" w:color="auto" w:fill="FFFFFF"/>
                    <w:tblCellMar>
                      <w:left w:w="0" w:type="dxa"/>
                      <w:right w:w="0" w:type="dxa"/>
                    </w:tblCellMar>
                    <w:tblLook w:val="04A0" w:firstRow="1" w:lastRow="0" w:firstColumn="1" w:lastColumn="0" w:noHBand="0" w:noVBand="1"/>
                  </w:tblPr>
                  <w:tblGrid>
                    <w:gridCol w:w="985"/>
                    <w:gridCol w:w="1090"/>
                    <w:gridCol w:w="112"/>
                    <w:gridCol w:w="390"/>
                    <w:gridCol w:w="623"/>
                  </w:tblGrid>
                  <w:tr w:rsidR="0092536D" w:rsidRPr="0092536D" w:rsidTr="0092536D">
                    <w:trPr>
                      <w:tblCellSpacing w:w="0" w:type="dxa"/>
                    </w:trPr>
                    <w:tc>
                      <w:tcPr>
                        <w:tcW w:w="0" w:type="auto"/>
                        <w:gridSpan w:val="5"/>
                        <w:shd w:val="clear" w:color="auto" w:fill="D7DCE6"/>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r>
                  <w:tr w:rsidR="0092536D" w:rsidRPr="0092536D" w:rsidTr="0092536D">
                    <w:trPr>
                      <w:tblCellSpacing w:w="0" w:type="dxa"/>
                    </w:trPr>
                    <w:tc>
                      <w:tcPr>
                        <w:tcW w:w="1750" w:type="pct"/>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2014 inventory</w:t>
                        </w:r>
                      </w:p>
                    </w:tc>
                    <w:tc>
                      <w:tcPr>
                        <w:tcW w:w="1750" w:type="pct"/>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Overstated by</w:t>
                        </w:r>
                      </w:p>
                    </w:tc>
                    <w:tc>
                      <w:tcPr>
                        <w:tcW w:w="1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w:t>
                        </w:r>
                      </w:p>
                    </w:tc>
                    <w:tc>
                      <w:tcPr>
                        <w:tcW w:w="500" w:type="pct"/>
                        <w:shd w:val="clear" w:color="auto" w:fill="FFFFFF"/>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12.7</w:t>
                        </w:r>
                      </w:p>
                    </w:tc>
                    <w:tc>
                      <w:tcPr>
                        <w:tcW w:w="1000" w:type="pct"/>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million</w:t>
                        </w:r>
                      </w:p>
                    </w:tc>
                  </w:tr>
                  <w:tr w:rsidR="0092536D" w:rsidRPr="0092536D" w:rsidTr="0092536D">
                    <w:trPr>
                      <w:tblCellSpacing w:w="0" w:type="dxa"/>
                    </w:trPr>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2015 inventory</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Understated by</w:t>
                        </w:r>
                      </w:p>
                    </w:tc>
                    <w:tc>
                      <w:tcPr>
                        <w:tcW w:w="100" w:type="pct"/>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w:t>
                        </w:r>
                      </w:p>
                    </w:tc>
                    <w:tc>
                      <w:tcPr>
                        <w:tcW w:w="500" w:type="pct"/>
                        <w:shd w:val="clear" w:color="auto" w:fill="F7F7F7"/>
                        <w:vAlign w:val="center"/>
                        <w:hideMark/>
                      </w:tcPr>
                      <w:p w:rsidR="0092536D" w:rsidRPr="0092536D" w:rsidRDefault="0092536D" w:rsidP="0092536D">
                        <w:pPr>
                          <w:spacing w:before="0" w:beforeAutospacing="0" w:after="0" w:afterAutospacing="0" w:line="240" w:lineRule="auto"/>
                          <w:ind w:firstLine="0"/>
                          <w:jc w:val="right"/>
                          <w:rPr>
                            <w:rFonts w:ascii="Arial" w:eastAsia="Times New Roman" w:hAnsi="Arial" w:cs="Arial"/>
                            <w:color w:val="333333"/>
                            <w:sz w:val="20"/>
                            <w:szCs w:val="20"/>
                          </w:rPr>
                        </w:pPr>
                        <w:r w:rsidRPr="0092536D">
                          <w:rPr>
                            <w:rFonts w:ascii="Arial" w:eastAsia="Times New Roman" w:hAnsi="Arial" w:cs="Arial"/>
                            <w:color w:val="333333"/>
                            <w:sz w:val="20"/>
                            <w:szCs w:val="20"/>
                          </w:rPr>
                          <w:t>10.7</w:t>
                        </w:r>
                      </w:p>
                    </w:tc>
                    <w:tc>
                      <w:tcPr>
                        <w:tcW w:w="0" w:type="auto"/>
                        <w:shd w:val="clear" w:color="auto" w:fill="F7F7F7"/>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million</w:t>
                        </w:r>
                      </w:p>
                    </w:tc>
                  </w:tr>
                  <w:tr w:rsidR="0092536D" w:rsidRPr="0092536D" w:rsidTr="0092536D">
                    <w:trPr>
                      <w:tblCellSpacing w:w="0" w:type="dxa"/>
                    </w:trPr>
                    <w:tc>
                      <w:tcPr>
                        <w:tcW w:w="0" w:type="auto"/>
                        <w:gridSpan w:val="5"/>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pict>
                            <v:rect id="_x0000_i1059" style="width:22in;height:3.75pt" o:hrstd="t" o:hrnoshade="t" o:hr="t" fillcolor="#cdd4e0" stroked="f"/>
                          </w:pic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10106" w:type="dxa"/>
                    <w:tblCellSpacing w:w="0" w:type="dxa"/>
                    <w:shd w:val="clear" w:color="auto" w:fill="FFFFFF"/>
                    <w:tblCellMar>
                      <w:left w:w="0" w:type="dxa"/>
                      <w:right w:w="0" w:type="dxa"/>
                    </w:tblCellMar>
                    <w:tblLook w:val="04A0" w:firstRow="1" w:lastRow="0" w:firstColumn="1" w:lastColumn="0" w:noHBand="0" w:noVBand="1"/>
                  </w:tblPr>
                  <w:tblGrid>
                    <w:gridCol w:w="186"/>
                    <w:gridCol w:w="9920"/>
                  </w:tblGrid>
                  <w:tr w:rsidR="0092536D" w:rsidRPr="0092536D" w:rsidTr="00460541">
                    <w:trPr>
                      <w:tblCellSpacing w:w="0" w:type="dxa"/>
                    </w:trPr>
                    <w:tc>
                      <w:tcPr>
                        <w:tcW w:w="92"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b.</w:t>
                        </w:r>
                      </w:p>
                    </w:tc>
                    <w:tc>
                      <w:tcPr>
                        <w:tcW w:w="4908" w:type="pct"/>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A liability was accrued in 2014 for a probable payment of $8.4 million in connection with a lawsuit ultimately settled in December 2016 for $4.7 million.</w:t>
                        </w:r>
                      </w:p>
                    </w:tc>
                  </w:tr>
                  <w:tr w:rsidR="0092536D" w:rsidRPr="0092536D" w:rsidTr="00460541">
                    <w:trPr>
                      <w:tblCellSpacing w:w="0" w:type="dxa"/>
                    </w:trPr>
                    <w:tc>
                      <w:tcPr>
                        <w:tcW w:w="92"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c.</w:t>
                        </w:r>
                      </w:p>
                    </w:tc>
                    <w:tc>
                      <w:tcPr>
                        <w:tcW w:w="4908" w:type="pct"/>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A patent costing $22.2 million at the beginning of 2014, expected to benefit operations for a total of six years, has not been amortized since acquired.</w:t>
                        </w:r>
                      </w:p>
                    </w:tc>
                  </w:tr>
                  <w:tr w:rsidR="0092536D" w:rsidRPr="0092536D" w:rsidTr="00460541">
                    <w:trPr>
                      <w:tblCellSpacing w:w="0" w:type="dxa"/>
                    </w:trPr>
                    <w:tc>
                      <w:tcPr>
                        <w:tcW w:w="92"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d.</w:t>
                        </w:r>
                      </w:p>
                    </w:tc>
                    <w:tc>
                      <w:tcPr>
                        <w:tcW w:w="4908" w:type="pct"/>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Whaley’s conveyer equipment was depreciated by the sum-of-the-years’-digits (SYD) basis since it was acquired at the beginning of 2014 at a cost of $40.5 million. It has an expected useful life of five years and no expected residual value. At the beginning of 2016, Whaley decided to switch to straight-line depreciation.</w: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92536D" w:rsidRPr="0092536D" w:rsidTr="0092536D">
                    <w:trPr>
                      <w:tblCellSpacing w:w="0" w:type="dxa"/>
                    </w:trPr>
                    <w:tc>
                      <w:tcPr>
                        <w:tcW w:w="0" w:type="auto"/>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b/>
                            <w:bCs/>
                            <w:color w:val="333333"/>
                            <w:sz w:val="20"/>
                            <w:szCs w:val="20"/>
                          </w:rPr>
                          <w:t>Required:</w:t>
                        </w:r>
                      </w:p>
                    </w:tc>
                  </w:tr>
                </w:tbl>
                <w:p w:rsidR="0092536D" w:rsidRPr="0092536D" w:rsidRDefault="0092536D" w:rsidP="0092536D">
                  <w:pPr>
                    <w:spacing w:before="0" w:beforeAutospacing="0" w:after="0" w:afterAutospacing="0" w:line="240" w:lineRule="auto"/>
                    <w:ind w:firstLine="0"/>
                    <w:rPr>
                      <w:rFonts w:ascii="Times New Roman" w:eastAsia="Times New Roman" w:hAnsi="Times New Roman" w:cs="Times New Roman"/>
                      <w:vanish/>
                      <w:sz w:val="24"/>
                      <w:szCs w:val="24"/>
                    </w:rPr>
                  </w:pP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92536D" w:rsidRPr="0092536D" w:rsidTr="0092536D">
                    <w:trPr>
                      <w:tblCellSpacing w:w="0" w:type="dxa"/>
                    </w:trPr>
                    <w:tc>
                      <w:tcPr>
                        <w:tcW w:w="0" w:type="auto"/>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For each situation:</w: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10106" w:type="dxa"/>
                    <w:tblCellSpacing w:w="0" w:type="dxa"/>
                    <w:shd w:val="clear" w:color="auto" w:fill="FFFFFF"/>
                    <w:tblCellMar>
                      <w:left w:w="0" w:type="dxa"/>
                      <w:right w:w="0" w:type="dxa"/>
                    </w:tblCellMar>
                    <w:tblLook w:val="04A0" w:firstRow="1" w:lastRow="0" w:firstColumn="1" w:lastColumn="0" w:noHBand="0" w:noVBand="1"/>
                  </w:tblPr>
                  <w:tblGrid>
                    <w:gridCol w:w="186"/>
                    <w:gridCol w:w="9920"/>
                  </w:tblGrid>
                  <w:tr w:rsidR="0092536D" w:rsidRPr="0092536D" w:rsidTr="00460541">
                    <w:trPr>
                      <w:tblCellSpacing w:w="0" w:type="dxa"/>
                    </w:trPr>
                    <w:tc>
                      <w:tcPr>
                        <w:tcW w:w="92"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b/>
                            <w:bCs/>
                            <w:color w:val="333333"/>
                            <w:sz w:val="20"/>
                            <w:szCs w:val="20"/>
                          </w:rPr>
                          <w:t>1.</w:t>
                        </w:r>
                      </w:p>
                    </w:tc>
                    <w:tc>
                      <w:tcPr>
                        <w:tcW w:w="4908" w:type="pct"/>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Prepare any journal entry necessary as a direct result of the change or error correction as well as any adjusting entry for 2016 related to the situation described. (Ignore tax effects.) </w:t>
                        </w:r>
                        <w:r w:rsidRPr="0092536D">
                          <w:rPr>
                            <w:rFonts w:ascii="Arial" w:eastAsia="Times New Roman" w:hAnsi="Arial" w:cs="Arial"/>
                            <w:b/>
                            <w:bCs/>
                            <w:color w:val="FF0000"/>
                            <w:sz w:val="20"/>
                            <w:szCs w:val="20"/>
                          </w:rPr>
                          <w:t>(If no entry is required for a transaction/event, select "No journal entry required" in the first account field. Enter your answers in millions rounded to 1 decimal place (i.e., 5,500,000 should be entered as 5.5))</w:t>
                        </w:r>
                      </w:p>
                    </w:tc>
                  </w:tr>
                  <w:tr w:rsidR="0092536D" w:rsidRPr="0092536D" w:rsidTr="00460541">
                    <w:trPr>
                      <w:tblCellSpacing w:w="0" w:type="dxa"/>
                    </w:trPr>
                    <w:tc>
                      <w:tcPr>
                        <w:tcW w:w="92"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c>
                      <w:tcPr>
                        <w:tcW w:w="4908" w:type="pct"/>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10016" w:type="dxa"/>
                    <w:tblCellSpacing w:w="0" w:type="dxa"/>
                    <w:shd w:val="clear" w:color="auto" w:fill="FFFFFF"/>
                    <w:tblCellMar>
                      <w:left w:w="0" w:type="dxa"/>
                      <w:right w:w="0" w:type="dxa"/>
                    </w:tblCellMar>
                    <w:tblLook w:val="04A0" w:firstRow="1" w:lastRow="0" w:firstColumn="1" w:lastColumn="0" w:noHBand="0" w:noVBand="1"/>
                  </w:tblPr>
                  <w:tblGrid>
                    <w:gridCol w:w="186"/>
                    <w:gridCol w:w="9830"/>
                  </w:tblGrid>
                  <w:tr w:rsidR="0092536D" w:rsidRPr="0092536D" w:rsidTr="00460541">
                    <w:trPr>
                      <w:tblCellSpacing w:w="0" w:type="dxa"/>
                    </w:trPr>
                    <w:tc>
                      <w:tcPr>
                        <w:tcW w:w="93"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b/>
                            <w:bCs/>
                            <w:color w:val="333333"/>
                            <w:sz w:val="20"/>
                            <w:szCs w:val="20"/>
                          </w:rPr>
                          <w:t>2.</w:t>
                        </w:r>
                      </w:p>
                    </w:tc>
                    <w:tc>
                      <w:tcPr>
                        <w:tcW w:w="4907" w:type="pct"/>
                        <w:shd w:val="clear" w:color="auto" w:fill="FFFFFF"/>
                        <w:vAlign w:val="center"/>
                        <w:hideMark/>
                      </w:tcPr>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r w:rsidRPr="0092536D">
                          <w:rPr>
                            <w:rFonts w:ascii="Arial" w:eastAsia="Times New Roman" w:hAnsi="Arial" w:cs="Arial"/>
                            <w:color w:val="333333"/>
                            <w:sz w:val="20"/>
                            <w:szCs w:val="20"/>
                          </w:rPr>
                          <w:t>Determine the amounts to be reported for each of the five items shown below from the 2014 and 2015 financial statements when those amounts are reported again in the 2014–2016 comparative financial statements. </w:t>
                        </w:r>
                        <w:r w:rsidRPr="0092536D">
                          <w:rPr>
                            <w:rFonts w:ascii="Arial" w:eastAsia="Times New Roman" w:hAnsi="Arial" w:cs="Arial"/>
                            <w:b/>
                            <w:bCs/>
                            <w:color w:val="FF0000"/>
                            <w:sz w:val="20"/>
                            <w:szCs w:val="20"/>
                          </w:rPr>
                          <w:t>(Do not round intermediate calculations. Amounts to be deducted should be indicated with a minus sign. Enter your answers in millions rounded to 1 decimal place (i.e., 5,500,000 should be entered as 5.5))</w:t>
                        </w:r>
                      </w:p>
                    </w:tc>
                  </w:tr>
                  <w:tr w:rsidR="0092536D" w:rsidRPr="0092536D" w:rsidTr="00460541">
                    <w:trPr>
                      <w:tblCellSpacing w:w="0" w:type="dxa"/>
                    </w:trPr>
                    <w:tc>
                      <w:tcPr>
                        <w:tcW w:w="93"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lastRenderedPageBreak/>
                          <w:t> </w:t>
                        </w:r>
                      </w:p>
                    </w:tc>
                    <w:tc>
                      <w:tcPr>
                        <w:tcW w:w="4907" w:type="pct"/>
                        <w:shd w:val="clear" w:color="auto" w:fill="FFFFFF"/>
                        <w:vAlign w:val="center"/>
                        <w:hideMark/>
                      </w:tcPr>
                      <w:p w:rsid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w:t>
                        </w:r>
                      </w:p>
                      <w:p w:rsidR="00AC37FF" w:rsidRDefault="00AC37FF" w:rsidP="0092536D">
                        <w:pPr>
                          <w:spacing w:before="0" w:beforeAutospacing="0" w:after="0" w:afterAutospacing="0" w:line="240" w:lineRule="auto"/>
                          <w:ind w:firstLine="0"/>
                          <w:rPr>
                            <w:rFonts w:ascii="Arial" w:eastAsia="Times New Roman" w:hAnsi="Arial" w:cs="Arial"/>
                            <w:color w:val="333333"/>
                            <w:sz w:val="20"/>
                            <w:szCs w:val="20"/>
                          </w:rPr>
                        </w:pPr>
                      </w:p>
                      <w:p w:rsidR="00AC37FF" w:rsidRPr="00460541" w:rsidRDefault="00AC37FF" w:rsidP="0092536D">
                        <w:pPr>
                          <w:spacing w:before="0" w:beforeAutospacing="0" w:after="0" w:afterAutospacing="0" w:line="240" w:lineRule="auto"/>
                          <w:ind w:firstLine="0"/>
                          <w:rPr>
                            <w:rFonts w:ascii="Arial" w:eastAsia="Times New Roman" w:hAnsi="Arial" w:cs="Arial"/>
                            <w:b/>
                            <w:i/>
                            <w:color w:val="333333"/>
                            <w:sz w:val="20"/>
                            <w:szCs w:val="20"/>
                            <w:u w:val="single"/>
                          </w:rPr>
                        </w:pPr>
                        <w:r w:rsidRPr="00460541">
                          <w:rPr>
                            <w:rFonts w:ascii="Arial" w:eastAsia="Times New Roman" w:hAnsi="Arial" w:cs="Arial"/>
                            <w:b/>
                            <w:i/>
                            <w:color w:val="333333"/>
                            <w:sz w:val="20"/>
                            <w:szCs w:val="20"/>
                            <w:u w:val="single"/>
                          </w:rPr>
                          <w:t xml:space="preserve">QUESTION 5 </w:t>
                        </w:r>
                      </w:p>
                      <w:p w:rsidR="00460541" w:rsidRPr="0092536D" w:rsidRDefault="00460541" w:rsidP="0092536D">
                        <w:pPr>
                          <w:spacing w:before="0" w:beforeAutospacing="0" w:after="0" w:afterAutospacing="0" w:line="240" w:lineRule="auto"/>
                          <w:ind w:firstLine="0"/>
                          <w:rPr>
                            <w:rFonts w:ascii="Arial" w:eastAsia="Times New Roman" w:hAnsi="Arial" w:cs="Arial"/>
                            <w:color w:val="333333"/>
                            <w:sz w:val="20"/>
                            <w:szCs w:val="20"/>
                          </w:rPr>
                        </w:pPr>
                      </w:p>
                    </w:tc>
                  </w:tr>
                </w:tbl>
                <w:p w:rsidR="00460541"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tbl>
                  <w:tblPr>
                    <w:tblW w:w="9908" w:type="dxa"/>
                    <w:tblCellSpacing w:w="0" w:type="dxa"/>
                    <w:shd w:val="clear" w:color="auto" w:fill="FFFFFF"/>
                    <w:tblCellMar>
                      <w:left w:w="0" w:type="dxa"/>
                      <w:right w:w="0" w:type="dxa"/>
                    </w:tblCellMar>
                    <w:tblLook w:val="04A0" w:firstRow="1" w:lastRow="0" w:firstColumn="1" w:lastColumn="0" w:noHBand="0" w:noVBand="1"/>
                  </w:tblPr>
                  <w:tblGrid>
                    <w:gridCol w:w="9908"/>
                  </w:tblGrid>
                  <w:tr w:rsidR="00460541" w:rsidRPr="00460541" w:rsidTr="00460541">
                    <w:trPr>
                      <w:tblCellSpacing w:w="0" w:type="dxa"/>
                    </w:trPr>
                    <w:tc>
                      <w:tcPr>
                        <w:tcW w:w="5000" w:type="pct"/>
                        <w:shd w:val="clear" w:color="auto" w:fill="FFFFFF"/>
                        <w:vAlign w:val="center"/>
                        <w:hideMark/>
                      </w:tcPr>
                      <w:p w:rsidR="00460541" w:rsidRPr="00460541" w:rsidRDefault="00460541" w:rsidP="00460541">
                        <w:pPr>
                          <w:spacing w:before="0" w:beforeAutospacing="0" w:after="0" w:afterAutospacing="0" w:line="240" w:lineRule="auto"/>
                          <w:ind w:firstLine="0"/>
                          <w:jc w:val="both"/>
                          <w:textAlignment w:val="baseline"/>
                          <w:rPr>
                            <w:rFonts w:ascii="Arial" w:eastAsia="Times New Roman" w:hAnsi="Arial" w:cs="Arial"/>
                            <w:color w:val="333333"/>
                            <w:sz w:val="20"/>
                            <w:szCs w:val="20"/>
                          </w:rPr>
                        </w:pPr>
                        <w:r w:rsidRPr="00460541">
                          <w:rPr>
                            <w:rFonts w:ascii="Arial" w:eastAsia="Times New Roman" w:hAnsi="Arial" w:cs="Arial"/>
                            <w:color w:val="333333"/>
                            <w:sz w:val="20"/>
                            <w:szCs w:val="20"/>
                          </w:rPr>
                          <w:t>George Young Industries (GYI) acquired industrial robots at the beginning of 2013 and added them to the company’s assembly process. During 2016, management became aware that the $2.1 million cost of the machinery was inadvertently recorded as repair expense on GYI’s books and on its income tax return. The industrial robots have 10-year useful lives and no material salvage value. This class of equipment is depreciated by the straight-line method for financial reporting purposes and for tax purposes it is considered to be MACRS 7-year property (cost deducted over 7 years by the modified accelerated recovery system as follows):</w:t>
                        </w:r>
                      </w:p>
                    </w:tc>
                  </w:tr>
                </w:tbl>
                <w:p w:rsidR="00460541" w:rsidRPr="00460541" w:rsidRDefault="00460541" w:rsidP="00460541">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460541">
                    <w:rPr>
                      <w:rFonts w:ascii="Arial" w:eastAsia="Times New Roman" w:hAnsi="Arial" w:cs="Arial"/>
                      <w:color w:val="333333"/>
                      <w:sz w:val="21"/>
                      <w:szCs w:val="21"/>
                    </w:rPr>
                    <w:t> </w:t>
                  </w:r>
                </w:p>
                <w:tbl>
                  <w:tblPr>
                    <w:tblW w:w="1800" w:type="dxa"/>
                    <w:tblCellSpacing w:w="0" w:type="dxa"/>
                    <w:shd w:val="clear" w:color="auto" w:fill="FFFFFF"/>
                    <w:tblCellMar>
                      <w:left w:w="0" w:type="dxa"/>
                      <w:right w:w="0" w:type="dxa"/>
                    </w:tblCellMar>
                    <w:tblLook w:val="04A0" w:firstRow="1" w:lastRow="0" w:firstColumn="1" w:lastColumn="0" w:noHBand="0" w:noVBand="1"/>
                  </w:tblPr>
                  <w:tblGrid>
                    <w:gridCol w:w="712"/>
                    <w:gridCol w:w="1440"/>
                    <w:gridCol w:w="1440"/>
                    <w:gridCol w:w="56"/>
                  </w:tblGrid>
                  <w:tr w:rsidR="00460541" w:rsidRPr="00460541" w:rsidTr="00460541">
                    <w:trPr>
                      <w:tblCellSpacing w:w="0" w:type="dxa"/>
                    </w:trPr>
                    <w:tc>
                      <w:tcPr>
                        <w:tcW w:w="0" w:type="auto"/>
                        <w:shd w:val="clear" w:color="auto" w:fill="D7DCE6"/>
                        <w:vAlign w:val="bottom"/>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Year</w:t>
                        </w:r>
                      </w:p>
                    </w:tc>
                    <w:tc>
                      <w:tcPr>
                        <w:tcW w:w="0" w:type="auto"/>
                        <w:shd w:val="clear" w:color="auto" w:fill="D7DCE6"/>
                        <w:vAlign w:val="bottom"/>
                        <w:hideMark/>
                      </w:tcPr>
                      <w:p w:rsidR="00460541" w:rsidRPr="00460541" w:rsidRDefault="00460541" w:rsidP="00460541">
                        <w:pPr>
                          <w:spacing w:before="0" w:beforeAutospacing="0" w:after="0" w:afterAutospacing="0" w:line="240" w:lineRule="auto"/>
                          <w:ind w:firstLine="0"/>
                          <w:jc w:val="center"/>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D7DCE6"/>
                        <w:vAlign w:val="bottom"/>
                        <w:hideMark/>
                      </w:tcPr>
                      <w:p w:rsidR="00460541" w:rsidRPr="00460541" w:rsidRDefault="00460541" w:rsidP="00460541">
                        <w:pPr>
                          <w:spacing w:before="0" w:beforeAutospacing="0" w:after="0" w:afterAutospacing="0" w:line="240" w:lineRule="auto"/>
                          <w:ind w:firstLine="0"/>
                          <w:jc w:val="center"/>
                          <w:rPr>
                            <w:rFonts w:ascii="Arial" w:eastAsia="Times New Roman" w:hAnsi="Arial" w:cs="Arial"/>
                            <w:color w:val="333333"/>
                            <w:sz w:val="20"/>
                            <w:szCs w:val="20"/>
                          </w:rPr>
                        </w:pPr>
                        <w:r w:rsidRPr="00460541">
                          <w:rPr>
                            <w:rFonts w:ascii="Arial" w:eastAsia="Times New Roman" w:hAnsi="Arial" w:cs="Arial"/>
                            <w:color w:val="333333"/>
                            <w:sz w:val="20"/>
                            <w:szCs w:val="20"/>
                          </w:rPr>
                          <w:t>MACRS</w:t>
                        </w:r>
                        <w:r w:rsidRPr="00460541">
                          <w:rPr>
                            <w:rFonts w:ascii="Arial" w:eastAsia="Times New Roman" w:hAnsi="Arial" w:cs="Arial"/>
                            <w:color w:val="333333"/>
                            <w:sz w:val="20"/>
                            <w:szCs w:val="20"/>
                          </w:rPr>
                          <w:br/>
                          <w:t>Deductions</w:t>
                        </w:r>
                      </w:p>
                    </w:tc>
                    <w:tc>
                      <w:tcPr>
                        <w:tcW w:w="0" w:type="auto"/>
                        <w:shd w:val="clear" w:color="auto" w:fill="D7DCE6"/>
                        <w:vAlign w:val="bottom"/>
                        <w:hideMark/>
                      </w:tcPr>
                      <w:p w:rsidR="00460541" w:rsidRPr="00460541" w:rsidRDefault="00460541" w:rsidP="00460541">
                        <w:pPr>
                          <w:spacing w:before="0" w:beforeAutospacing="0" w:after="0" w:afterAutospacing="0" w:line="240" w:lineRule="auto"/>
                          <w:ind w:firstLine="0"/>
                          <w:jc w:val="center"/>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2750" w:type="pct"/>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2013</w:t>
                        </w:r>
                      </w:p>
                    </w:tc>
                    <w:tc>
                      <w:tcPr>
                        <w:tcW w:w="100" w:type="pct"/>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w:t>
                        </w:r>
                      </w:p>
                    </w:tc>
                    <w:tc>
                      <w:tcPr>
                        <w:tcW w:w="1900" w:type="pct"/>
                        <w:shd w:val="clear" w:color="auto" w:fill="FFFFFF"/>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300,090  </w:t>
                        </w:r>
                      </w:p>
                    </w:tc>
                    <w:tc>
                      <w:tcPr>
                        <w:tcW w:w="250" w:type="pct"/>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2014</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514,290  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2015</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367,290  </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2016</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262,290  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2017</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187,530  </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2018</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187,320  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2019</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187,530  </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2020</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93,660  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pict>
                            <v:rect id="_x0000_i1060" style="width:0;height:.5pt" o:hralign="right" o:hrstd="t" o:hrnoshade="t" o:hr="t" fillcolor="#a0a0a0" stroked="f"/>
                          </w:pic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pict>
                            <v:rect id="_x0000_i1061" style="width:0;height:.5pt" o:hralign="right" o:hrstd="t" o:hrnoshade="t" o:hr="t" fillcolor="#a0a0a0" stroked="f"/>
                          </w:pic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Times New Roman" w:eastAsia="Times New Roman" w:hAnsi="Times New Roman" w:cs="Times New Roman"/>
                            <w:sz w:val="20"/>
                            <w:szCs w:val="20"/>
                          </w:rPr>
                        </w:pPr>
                      </w:p>
                    </w:tc>
                  </w:tr>
                  <w:tr w:rsidR="00460541" w:rsidRPr="00460541" w:rsidTr="00460541">
                    <w:trPr>
                      <w:tblCellSpacing w:w="0" w:type="dxa"/>
                    </w:trPr>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Totals</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t>2,100,000  </w:t>
                        </w:r>
                      </w:p>
                    </w:tc>
                    <w:tc>
                      <w:tcPr>
                        <w:tcW w:w="0" w:type="auto"/>
                        <w:shd w:val="clear" w:color="auto" w:fill="F7F7F7"/>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pict>
                            <v:rect id="_x0000_i1062" style="width:0;height:.5pt" o:hralign="right" o:hrstd="t" o:hrnoshade="t" o:hr="t" fillcolor="#a0a0a0" stroked="f"/>
                          </w:pict>
                        </w:r>
                      </w:p>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pict>
                            <v:rect id="_x0000_i1063" style="width:0;height:.5pt" o:hralign="right" o:hrstd="t" o:hrnoshade="t" o:hr="t" fillcolor="#a0a0a0" stroked="f"/>
                          </w:pic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pict>
                            <v:rect id="_x0000_i1064" style="width:0;height:.5pt" o:hralign="right" o:hrstd="t" o:hrnoshade="t" o:hr="t" fillcolor="#a0a0a0" stroked="f"/>
                          </w:pict>
                        </w:r>
                      </w:p>
                      <w:p w:rsidR="00460541" w:rsidRPr="00460541" w:rsidRDefault="00460541" w:rsidP="00460541">
                        <w:pPr>
                          <w:spacing w:before="0" w:beforeAutospacing="0" w:after="0" w:afterAutospacing="0" w:line="240" w:lineRule="auto"/>
                          <w:ind w:firstLine="0"/>
                          <w:jc w:val="right"/>
                          <w:rPr>
                            <w:rFonts w:ascii="Arial" w:eastAsia="Times New Roman" w:hAnsi="Arial" w:cs="Arial"/>
                            <w:color w:val="333333"/>
                            <w:sz w:val="20"/>
                            <w:szCs w:val="20"/>
                          </w:rPr>
                        </w:pPr>
                        <w:r w:rsidRPr="00460541">
                          <w:rPr>
                            <w:rFonts w:ascii="Arial" w:eastAsia="Times New Roman" w:hAnsi="Arial" w:cs="Arial"/>
                            <w:color w:val="333333"/>
                            <w:sz w:val="20"/>
                            <w:szCs w:val="20"/>
                          </w:rPr>
                          <w:pict>
                            <v:rect id="_x0000_i1065" style="width:0;height:.5pt" o:hralign="right" o:hrstd="t" o:hrnoshade="t" o:hr="t" fillcolor="#a0a0a0" stroked="f"/>
                          </w:pict>
                        </w:r>
                      </w:p>
                    </w:tc>
                    <w:tc>
                      <w:tcPr>
                        <w:tcW w:w="0" w:type="auto"/>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r>
                  <w:tr w:rsidR="00460541" w:rsidRPr="00460541" w:rsidTr="00460541">
                    <w:trPr>
                      <w:tblCellSpacing w:w="0" w:type="dxa"/>
                    </w:trPr>
                    <w:tc>
                      <w:tcPr>
                        <w:tcW w:w="0" w:type="auto"/>
                        <w:gridSpan w:val="4"/>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pict>
                            <v:rect id="_x0000_i1066" style="width:22in;height:2.5pt" o:hrstd="t" o:hrnoshade="t" o:hr="t" fillcolor="#cdd4e0" stroked="f"/>
                          </w:pict>
                        </w:r>
                      </w:p>
                    </w:tc>
                  </w:tr>
                </w:tbl>
                <w:p w:rsidR="00460541" w:rsidRPr="00460541" w:rsidRDefault="00460541" w:rsidP="00460541">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460541">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460541" w:rsidRPr="00460541" w:rsidTr="00460541">
                    <w:trPr>
                      <w:tblCellSpacing w:w="0" w:type="dxa"/>
                    </w:trPr>
                    <w:tc>
                      <w:tcPr>
                        <w:tcW w:w="5000" w:type="pct"/>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The tax rate is 40% for all years involved.</w:t>
                        </w:r>
                      </w:p>
                    </w:tc>
                  </w:tr>
                </w:tbl>
                <w:p w:rsidR="00460541" w:rsidRPr="00460541" w:rsidRDefault="00460541" w:rsidP="00460541">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460541">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460541" w:rsidRPr="00460541" w:rsidTr="00460541">
                    <w:trPr>
                      <w:tblCellSpacing w:w="0" w:type="dxa"/>
                    </w:trPr>
                    <w:tc>
                      <w:tcPr>
                        <w:tcW w:w="5000" w:type="pct"/>
                        <w:shd w:val="clear" w:color="auto" w:fill="FFFFFF"/>
                        <w:vAlign w:val="center"/>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b/>
                            <w:bCs/>
                            <w:color w:val="333333"/>
                            <w:sz w:val="20"/>
                            <w:szCs w:val="20"/>
                          </w:rPr>
                          <w:t>Required:</w:t>
                        </w:r>
                      </w:p>
                    </w:tc>
                  </w:tr>
                </w:tbl>
                <w:p w:rsidR="00460541" w:rsidRPr="00460541" w:rsidRDefault="00460541" w:rsidP="00460541">
                  <w:pPr>
                    <w:spacing w:before="0" w:beforeAutospacing="0" w:after="0" w:afterAutospacing="0" w:line="240" w:lineRule="auto"/>
                    <w:ind w:firstLine="0"/>
                    <w:rPr>
                      <w:rFonts w:ascii="Times New Roman" w:eastAsia="Times New Roman" w:hAnsi="Times New Roman" w:cs="Times New Roman"/>
                      <w:vanish/>
                      <w:sz w:val="24"/>
                      <w:szCs w:val="24"/>
                    </w:rPr>
                  </w:pPr>
                </w:p>
                <w:tbl>
                  <w:tblPr>
                    <w:tblW w:w="10088" w:type="dxa"/>
                    <w:tblCellSpacing w:w="0" w:type="dxa"/>
                    <w:shd w:val="clear" w:color="auto" w:fill="FFFFFF"/>
                    <w:tblCellMar>
                      <w:left w:w="0" w:type="dxa"/>
                      <w:right w:w="0" w:type="dxa"/>
                    </w:tblCellMar>
                    <w:tblLook w:val="04A0" w:firstRow="1" w:lastRow="0" w:firstColumn="1" w:lastColumn="0" w:noHBand="0" w:noVBand="1"/>
                  </w:tblPr>
                  <w:tblGrid>
                    <w:gridCol w:w="434"/>
                    <w:gridCol w:w="9654"/>
                  </w:tblGrid>
                  <w:tr w:rsidR="00460541" w:rsidRPr="00460541" w:rsidTr="00460541">
                    <w:trPr>
                      <w:tblCellSpacing w:w="0" w:type="dxa"/>
                    </w:trPr>
                    <w:tc>
                      <w:tcPr>
                        <w:tcW w:w="215" w:type="pct"/>
                        <w:shd w:val="clear" w:color="auto" w:fill="FFFFFF"/>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b/>
                            <w:bCs/>
                            <w:color w:val="333333"/>
                            <w:sz w:val="20"/>
                            <w:szCs w:val="20"/>
                          </w:rPr>
                          <w:t>1. &amp; 3.</w:t>
                        </w:r>
                      </w:p>
                    </w:tc>
                    <w:tc>
                      <w:tcPr>
                        <w:tcW w:w="4785" w:type="pct"/>
                        <w:shd w:val="clear" w:color="auto" w:fill="FFFFFF"/>
                        <w:vAlign w:val="center"/>
                        <w:hideMark/>
                      </w:tcPr>
                      <w:p w:rsidR="00460541" w:rsidRDefault="00460541" w:rsidP="00460541">
                        <w:pPr>
                          <w:spacing w:before="0" w:beforeAutospacing="0" w:after="0" w:afterAutospacing="0" w:line="240" w:lineRule="auto"/>
                          <w:ind w:firstLine="0"/>
                          <w:jc w:val="both"/>
                          <w:textAlignment w:val="baseline"/>
                          <w:rPr>
                            <w:rFonts w:ascii="Arial" w:eastAsia="Times New Roman" w:hAnsi="Arial" w:cs="Arial"/>
                            <w:b/>
                            <w:bCs/>
                            <w:color w:val="FF0000"/>
                            <w:sz w:val="20"/>
                            <w:szCs w:val="20"/>
                          </w:rPr>
                        </w:pPr>
                        <w:r w:rsidRPr="00460541">
                          <w:rPr>
                            <w:rFonts w:ascii="Arial" w:eastAsia="Times New Roman" w:hAnsi="Arial" w:cs="Arial"/>
                            <w:color w:val="333333"/>
                            <w:sz w:val="20"/>
                            <w:szCs w:val="20"/>
                          </w:rPr>
                          <w:t>Prepare any journal entry necessary as a direct result of the error described and the adjusting entry for 2016 depreciation. </w:t>
                        </w:r>
                        <w:r w:rsidRPr="00460541">
                          <w:rPr>
                            <w:rFonts w:ascii="Arial" w:eastAsia="Times New Roman" w:hAnsi="Arial" w:cs="Arial"/>
                            <w:b/>
                            <w:bCs/>
                            <w:color w:val="FF0000"/>
                            <w:sz w:val="20"/>
                            <w:szCs w:val="20"/>
                          </w:rPr>
                          <w:t>(If no entry is required for a transaction/event, select "No journal entry required" in the first account field.)</w:t>
                        </w:r>
                      </w:p>
                      <w:p w:rsidR="00460541" w:rsidRPr="00BD1828" w:rsidRDefault="00460541" w:rsidP="00BD1828">
                        <w:pPr>
                          <w:pStyle w:val="ListParagraph"/>
                          <w:spacing w:before="0" w:beforeAutospacing="0" w:after="0" w:afterAutospacing="0" w:line="240" w:lineRule="auto"/>
                          <w:ind w:firstLine="0"/>
                          <w:jc w:val="both"/>
                          <w:textAlignment w:val="baseline"/>
                          <w:rPr>
                            <w:rFonts w:ascii="Arial" w:eastAsia="Times New Roman" w:hAnsi="Arial" w:cs="Arial"/>
                            <w:color w:val="333333"/>
                            <w:sz w:val="20"/>
                            <w:szCs w:val="20"/>
                          </w:rPr>
                        </w:pPr>
                        <w:bookmarkStart w:id="0" w:name="_GoBack"/>
                        <w:bookmarkEnd w:id="0"/>
                      </w:p>
                    </w:tc>
                  </w:tr>
                  <w:tr w:rsidR="00460541" w:rsidRPr="00460541" w:rsidTr="00460541">
                    <w:trPr>
                      <w:tblCellSpacing w:w="0" w:type="dxa"/>
                    </w:trPr>
                    <w:tc>
                      <w:tcPr>
                        <w:tcW w:w="215" w:type="pct"/>
                        <w:shd w:val="clear" w:color="auto" w:fill="FFFFFF"/>
                        <w:hideMark/>
                      </w:tcPr>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r w:rsidRPr="00460541">
                          <w:rPr>
                            <w:rFonts w:ascii="Arial" w:eastAsia="Times New Roman" w:hAnsi="Arial" w:cs="Arial"/>
                            <w:color w:val="333333"/>
                            <w:sz w:val="20"/>
                            <w:szCs w:val="20"/>
                          </w:rPr>
                          <w:t> </w:t>
                        </w:r>
                      </w:p>
                    </w:tc>
                    <w:tc>
                      <w:tcPr>
                        <w:tcW w:w="4785" w:type="pct"/>
                        <w:shd w:val="clear" w:color="auto" w:fill="FFFFFF"/>
                        <w:vAlign w:val="center"/>
                        <w:hideMark/>
                      </w:tcPr>
                      <w:p w:rsidR="00BD1828" w:rsidRPr="00BD1828" w:rsidRDefault="00460541" w:rsidP="00BD1828">
                        <w:pPr>
                          <w:numPr>
                            <w:ilvl w:val="0"/>
                            <w:numId w:val="15"/>
                          </w:numPr>
                          <w:spacing w:before="0" w:beforeAutospacing="0" w:after="0" w:afterAutospacing="0" w:line="240" w:lineRule="auto"/>
                          <w:rPr>
                            <w:rFonts w:ascii="Verdana" w:eastAsia="Times New Roman" w:hAnsi="Verdana" w:cs="Times New Roman"/>
                            <w:color w:val="000000"/>
                            <w:sz w:val="20"/>
                            <w:szCs w:val="20"/>
                          </w:rPr>
                        </w:pPr>
                        <w:r w:rsidRPr="00460541">
                          <w:rPr>
                            <w:rFonts w:ascii="Arial" w:eastAsia="Times New Roman" w:hAnsi="Arial" w:cs="Arial"/>
                            <w:color w:val="333333"/>
                            <w:sz w:val="20"/>
                            <w:szCs w:val="20"/>
                          </w:rPr>
                          <w:t> </w:t>
                        </w:r>
                        <w:r w:rsidR="00BD1828">
                          <w:rPr>
                            <w:rFonts w:ascii="Arial" w:eastAsia="Times New Roman" w:hAnsi="Arial" w:cs="Arial"/>
                            <w:color w:val="333333"/>
                            <w:sz w:val="20"/>
                            <w:szCs w:val="20"/>
                          </w:rPr>
                          <w:t xml:space="preserve"> </w:t>
                        </w:r>
                        <w:r w:rsidR="00BD1828" w:rsidRPr="00BD1828">
                          <w:rPr>
                            <w:rFonts w:ascii="Verdana" w:eastAsia="Times New Roman" w:hAnsi="Verdana" w:cs="Times New Roman"/>
                            <w:color w:val="000000"/>
                            <w:sz w:val="20"/>
                            <w:szCs w:val="20"/>
                          </w:rPr>
                          <w:t>Record the correcting entry.</w:t>
                        </w:r>
                      </w:p>
                      <w:p w:rsidR="00BD1828" w:rsidRPr="00BD1828" w:rsidRDefault="00BD1828" w:rsidP="00BD1828">
                        <w:pPr>
                          <w:numPr>
                            <w:ilvl w:val="0"/>
                            <w:numId w:val="15"/>
                          </w:numPr>
                          <w:spacing w:before="0" w:beforeAutospacing="0" w:after="0" w:afterAutospacing="0" w:line="240" w:lineRule="auto"/>
                          <w:rPr>
                            <w:rFonts w:ascii="Verdana" w:eastAsia="Times New Roman" w:hAnsi="Verdana" w:cs="Times New Roman"/>
                            <w:color w:val="000000"/>
                            <w:sz w:val="20"/>
                            <w:szCs w:val="20"/>
                          </w:rPr>
                        </w:pPr>
                        <w:r w:rsidRPr="00BD1828">
                          <w:rPr>
                            <w:rFonts w:ascii="Verdana" w:eastAsia="Times New Roman" w:hAnsi="Verdana" w:cs="Times New Roman"/>
                            <w:color w:val="000000"/>
                            <w:sz w:val="20"/>
                            <w:szCs w:val="20"/>
                          </w:rPr>
                          <w:t>Record the 2016 adjusting entry for depreciation.</w:t>
                        </w:r>
                      </w:p>
                      <w:p w:rsidR="00460541" w:rsidRPr="00460541" w:rsidRDefault="00460541" w:rsidP="00460541">
                        <w:pPr>
                          <w:spacing w:before="0" w:beforeAutospacing="0" w:after="0" w:afterAutospacing="0" w:line="240" w:lineRule="auto"/>
                          <w:ind w:firstLine="0"/>
                          <w:rPr>
                            <w:rFonts w:ascii="Arial" w:eastAsia="Times New Roman" w:hAnsi="Arial" w:cs="Arial"/>
                            <w:color w:val="333333"/>
                            <w:sz w:val="20"/>
                            <w:szCs w:val="20"/>
                          </w:rPr>
                        </w:pPr>
                      </w:p>
                    </w:tc>
                  </w:tr>
                </w:tbl>
                <w:p w:rsidR="00460541" w:rsidRPr="00460541" w:rsidRDefault="00460541" w:rsidP="00460541">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460541">
                    <w:rPr>
                      <w:rFonts w:ascii="Arial" w:eastAsia="Times New Roman" w:hAnsi="Arial" w:cs="Arial"/>
                      <w:color w:val="333333"/>
                      <w:sz w:val="21"/>
                      <w:szCs w:val="21"/>
                    </w:rPr>
                    <w:t>               </w:t>
                  </w:r>
                </w:p>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p>
                <w:p w:rsidR="0092536D" w:rsidRPr="0092536D" w:rsidRDefault="0092536D" w:rsidP="0092536D">
                  <w:pPr>
                    <w:spacing w:before="0" w:beforeAutospacing="0" w:after="0" w:afterAutospacing="0" w:line="240" w:lineRule="auto"/>
                    <w:ind w:firstLine="0"/>
                    <w:textAlignment w:val="baseline"/>
                    <w:rPr>
                      <w:rFonts w:ascii="Arial" w:eastAsia="Times New Roman" w:hAnsi="Arial" w:cs="Arial"/>
                      <w:color w:val="333333"/>
                      <w:sz w:val="20"/>
                      <w:szCs w:val="20"/>
                    </w:rPr>
                  </w:pPr>
                </w:p>
              </w:tc>
            </w:tr>
            <w:tr w:rsidR="0092536D" w:rsidRPr="0092536D" w:rsidTr="0092536D">
              <w:trPr>
                <w:tblCellSpacing w:w="0" w:type="dxa"/>
              </w:trPr>
              <w:tc>
                <w:tcPr>
                  <w:tcW w:w="91" w:type="pct"/>
                  <w:shd w:val="clear" w:color="auto" w:fill="FFFFFF"/>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lastRenderedPageBreak/>
                    <w:t> </w:t>
                  </w:r>
                </w:p>
              </w:tc>
              <w:tc>
                <w:tcPr>
                  <w:tcW w:w="4909" w:type="pct"/>
                  <w:shd w:val="clear" w:color="auto" w:fill="FFFFFF"/>
                  <w:vAlign w:val="center"/>
                  <w:hideMark/>
                </w:tcPr>
                <w:p w:rsidR="0092536D" w:rsidRPr="0092536D" w:rsidRDefault="0092536D" w:rsidP="0092536D">
                  <w:pPr>
                    <w:spacing w:before="0" w:beforeAutospacing="0" w:after="0" w:afterAutospacing="0" w:line="240" w:lineRule="auto"/>
                    <w:ind w:firstLine="0"/>
                    <w:rPr>
                      <w:rFonts w:ascii="Arial" w:eastAsia="Times New Roman" w:hAnsi="Arial" w:cs="Arial"/>
                      <w:color w:val="333333"/>
                      <w:sz w:val="20"/>
                      <w:szCs w:val="20"/>
                    </w:rPr>
                  </w:pPr>
                  <w:r w:rsidRPr="0092536D">
                    <w:rPr>
                      <w:rFonts w:ascii="Arial" w:eastAsia="Times New Roman" w:hAnsi="Arial" w:cs="Arial"/>
                      <w:color w:val="333333"/>
                      <w:sz w:val="20"/>
                      <w:szCs w:val="20"/>
                    </w:rPr>
                    <w:t> </w:t>
                  </w:r>
                </w:p>
              </w:tc>
            </w:tr>
          </w:tbl>
          <w:p w:rsidR="0092536D" w:rsidRPr="0092536D" w:rsidRDefault="0092536D" w:rsidP="0092536D">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92536D">
              <w:rPr>
                <w:rFonts w:ascii="Arial" w:eastAsia="Times New Roman" w:hAnsi="Arial" w:cs="Arial"/>
                <w:color w:val="333333"/>
                <w:sz w:val="21"/>
                <w:szCs w:val="21"/>
              </w:rPr>
              <w:t>      </w:t>
            </w:r>
          </w:p>
          <w:p w:rsidR="00E06BFD" w:rsidRPr="00E06BFD" w:rsidRDefault="00E06BFD" w:rsidP="00E06BFD">
            <w:pPr>
              <w:spacing w:before="0" w:beforeAutospacing="0" w:after="0" w:afterAutospacing="0" w:line="240" w:lineRule="auto"/>
              <w:ind w:firstLine="0"/>
              <w:textAlignment w:val="baseline"/>
              <w:rPr>
                <w:rFonts w:ascii="Arial" w:eastAsia="Times New Roman" w:hAnsi="Arial" w:cs="Arial"/>
                <w:b/>
                <w:i/>
                <w:sz w:val="20"/>
                <w:szCs w:val="20"/>
                <w:u w:val="single"/>
              </w:rPr>
            </w:pPr>
          </w:p>
        </w:tc>
      </w:tr>
      <w:tr w:rsidR="00E06BFD" w:rsidRPr="00E06BFD" w:rsidTr="00E06BFD">
        <w:trPr>
          <w:tblCellSpacing w:w="0" w:type="dxa"/>
        </w:trPr>
        <w:tc>
          <w:tcPr>
            <w:tcW w:w="90" w:type="pct"/>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lastRenderedPageBreak/>
              <w:t> </w:t>
            </w:r>
          </w:p>
        </w:tc>
        <w:tc>
          <w:tcPr>
            <w:tcW w:w="4910" w:type="pct"/>
            <w:vAlign w:val="center"/>
            <w:hideMark/>
          </w:tcPr>
          <w:p w:rsidR="00E06BFD" w:rsidRPr="00E06BFD" w:rsidRDefault="00E06BFD" w:rsidP="00E06BFD">
            <w:pPr>
              <w:spacing w:before="0" w:beforeAutospacing="0" w:after="0" w:afterAutospacing="0" w:line="240" w:lineRule="auto"/>
              <w:ind w:firstLine="0"/>
              <w:rPr>
                <w:rFonts w:ascii="Arial" w:eastAsia="Times New Roman" w:hAnsi="Arial" w:cs="Arial"/>
                <w:sz w:val="20"/>
                <w:szCs w:val="20"/>
              </w:rPr>
            </w:pPr>
            <w:r w:rsidRPr="00E06BFD">
              <w:rPr>
                <w:rFonts w:ascii="Arial" w:eastAsia="Times New Roman" w:hAnsi="Arial" w:cs="Arial"/>
                <w:sz w:val="20"/>
                <w:szCs w:val="20"/>
              </w:rPr>
              <w:t> </w:t>
            </w:r>
          </w:p>
        </w:tc>
      </w:tr>
    </w:tbl>
    <w:p w:rsidR="00E06BFD" w:rsidRPr="00E06BFD" w:rsidRDefault="00E06BFD" w:rsidP="00E06BFD">
      <w:pPr>
        <w:spacing w:before="0" w:beforeAutospacing="0" w:after="0" w:afterAutospacing="0" w:line="240" w:lineRule="auto"/>
        <w:ind w:firstLine="0"/>
        <w:rPr>
          <w:rFonts w:ascii="Arial" w:eastAsia="Times New Roman" w:hAnsi="Arial" w:cs="Arial"/>
          <w:sz w:val="24"/>
          <w:szCs w:val="24"/>
        </w:rPr>
      </w:pPr>
      <w:r w:rsidRPr="00E06BFD">
        <w:rPr>
          <w:rFonts w:ascii="Arial" w:eastAsia="Times New Roman" w:hAnsi="Arial" w:cs="Arial"/>
          <w:sz w:val="24"/>
          <w:szCs w:val="24"/>
        </w:rPr>
        <w:t>     </w:t>
      </w:r>
    </w:p>
    <w:p w:rsidR="00E06BFD" w:rsidRPr="007A2A8A" w:rsidRDefault="00E06BFD" w:rsidP="00E06BFD">
      <w:pPr>
        <w:pStyle w:val="ListParagraph"/>
        <w:spacing w:before="0" w:beforeAutospacing="0" w:after="0" w:afterAutospacing="0"/>
        <w:ind w:left="-90" w:firstLine="0"/>
        <w:rPr>
          <w:b/>
          <w:i/>
          <w:u w:val="single"/>
        </w:rPr>
      </w:pPr>
    </w:p>
    <w:sectPr w:rsidR="00E06BFD" w:rsidRPr="007A2A8A" w:rsidSect="007A2A8A">
      <w:pgSz w:w="12240" w:h="15840"/>
      <w:pgMar w:top="720" w:right="72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0393"/>
    <w:multiLevelType w:val="multilevel"/>
    <w:tmpl w:val="B732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F20E2"/>
    <w:multiLevelType w:val="multilevel"/>
    <w:tmpl w:val="8B9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75FF"/>
    <w:multiLevelType w:val="multilevel"/>
    <w:tmpl w:val="357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67677"/>
    <w:multiLevelType w:val="multilevel"/>
    <w:tmpl w:val="136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32AF4"/>
    <w:multiLevelType w:val="multilevel"/>
    <w:tmpl w:val="2E52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14DE6"/>
    <w:multiLevelType w:val="multilevel"/>
    <w:tmpl w:val="5C6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DD436C"/>
    <w:multiLevelType w:val="multilevel"/>
    <w:tmpl w:val="6B3E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90EDA"/>
    <w:multiLevelType w:val="multilevel"/>
    <w:tmpl w:val="F5AE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00374C"/>
    <w:multiLevelType w:val="multilevel"/>
    <w:tmpl w:val="37EC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A37FD4"/>
    <w:multiLevelType w:val="hybridMultilevel"/>
    <w:tmpl w:val="C5CE004C"/>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0">
    <w:nsid w:val="4BD56E2B"/>
    <w:multiLevelType w:val="hybridMultilevel"/>
    <w:tmpl w:val="8EB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C81FBA"/>
    <w:multiLevelType w:val="multilevel"/>
    <w:tmpl w:val="9F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BE3692"/>
    <w:multiLevelType w:val="multilevel"/>
    <w:tmpl w:val="94D0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066EB8"/>
    <w:multiLevelType w:val="multilevel"/>
    <w:tmpl w:val="B93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8250CD"/>
    <w:multiLevelType w:val="multilevel"/>
    <w:tmpl w:val="07DA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25ABE"/>
    <w:multiLevelType w:val="multilevel"/>
    <w:tmpl w:val="E410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1"/>
  </w:num>
  <w:num w:numId="4">
    <w:abstractNumId w:val="7"/>
  </w:num>
  <w:num w:numId="5">
    <w:abstractNumId w:val="0"/>
  </w:num>
  <w:num w:numId="6">
    <w:abstractNumId w:val="13"/>
  </w:num>
  <w:num w:numId="7">
    <w:abstractNumId w:val="6"/>
  </w:num>
  <w:num w:numId="8">
    <w:abstractNumId w:val="14"/>
  </w:num>
  <w:num w:numId="9">
    <w:abstractNumId w:val="12"/>
  </w:num>
  <w:num w:numId="10">
    <w:abstractNumId w:val="5"/>
  </w:num>
  <w:num w:numId="11">
    <w:abstractNumId w:val="3"/>
  </w:num>
  <w:num w:numId="12">
    <w:abstractNumId w:val="8"/>
  </w:num>
  <w:num w:numId="13">
    <w:abstractNumId w:val="2"/>
  </w:num>
  <w:num w:numId="14">
    <w:abstractNumId w:val="1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8A"/>
    <w:rsid w:val="002B7989"/>
    <w:rsid w:val="00460541"/>
    <w:rsid w:val="005F56D3"/>
    <w:rsid w:val="007A2A8A"/>
    <w:rsid w:val="0092536D"/>
    <w:rsid w:val="00AC37FF"/>
    <w:rsid w:val="00BD1828"/>
    <w:rsid w:val="00E06BFD"/>
    <w:rsid w:val="00F2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A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404">
      <w:bodyDiv w:val="1"/>
      <w:marLeft w:val="0"/>
      <w:marRight w:val="0"/>
      <w:marTop w:val="0"/>
      <w:marBottom w:val="0"/>
      <w:divBdr>
        <w:top w:val="none" w:sz="0" w:space="0" w:color="auto"/>
        <w:left w:val="none" w:sz="0" w:space="0" w:color="auto"/>
        <w:bottom w:val="none" w:sz="0" w:space="0" w:color="auto"/>
        <w:right w:val="none" w:sz="0" w:space="0" w:color="auto"/>
      </w:divBdr>
    </w:div>
    <w:div w:id="184373067">
      <w:bodyDiv w:val="1"/>
      <w:marLeft w:val="0"/>
      <w:marRight w:val="0"/>
      <w:marTop w:val="0"/>
      <w:marBottom w:val="0"/>
      <w:divBdr>
        <w:top w:val="none" w:sz="0" w:space="0" w:color="auto"/>
        <w:left w:val="none" w:sz="0" w:space="0" w:color="auto"/>
        <w:bottom w:val="none" w:sz="0" w:space="0" w:color="auto"/>
        <w:right w:val="none" w:sz="0" w:space="0" w:color="auto"/>
      </w:divBdr>
    </w:div>
    <w:div w:id="226234432">
      <w:bodyDiv w:val="1"/>
      <w:marLeft w:val="0"/>
      <w:marRight w:val="0"/>
      <w:marTop w:val="0"/>
      <w:marBottom w:val="0"/>
      <w:divBdr>
        <w:top w:val="none" w:sz="0" w:space="0" w:color="auto"/>
        <w:left w:val="none" w:sz="0" w:space="0" w:color="auto"/>
        <w:bottom w:val="none" w:sz="0" w:space="0" w:color="auto"/>
        <w:right w:val="none" w:sz="0" w:space="0" w:color="auto"/>
      </w:divBdr>
    </w:div>
    <w:div w:id="380595440">
      <w:bodyDiv w:val="1"/>
      <w:marLeft w:val="0"/>
      <w:marRight w:val="0"/>
      <w:marTop w:val="0"/>
      <w:marBottom w:val="0"/>
      <w:divBdr>
        <w:top w:val="none" w:sz="0" w:space="0" w:color="auto"/>
        <w:left w:val="none" w:sz="0" w:space="0" w:color="auto"/>
        <w:bottom w:val="none" w:sz="0" w:space="0" w:color="auto"/>
        <w:right w:val="none" w:sz="0" w:space="0" w:color="auto"/>
      </w:divBdr>
    </w:div>
    <w:div w:id="532117630">
      <w:bodyDiv w:val="1"/>
      <w:marLeft w:val="0"/>
      <w:marRight w:val="0"/>
      <w:marTop w:val="0"/>
      <w:marBottom w:val="0"/>
      <w:divBdr>
        <w:top w:val="none" w:sz="0" w:space="0" w:color="auto"/>
        <w:left w:val="none" w:sz="0" w:space="0" w:color="auto"/>
        <w:bottom w:val="none" w:sz="0" w:space="0" w:color="auto"/>
        <w:right w:val="none" w:sz="0" w:space="0" w:color="auto"/>
      </w:divBdr>
    </w:div>
    <w:div w:id="537008376">
      <w:bodyDiv w:val="1"/>
      <w:marLeft w:val="0"/>
      <w:marRight w:val="0"/>
      <w:marTop w:val="0"/>
      <w:marBottom w:val="0"/>
      <w:divBdr>
        <w:top w:val="none" w:sz="0" w:space="0" w:color="auto"/>
        <w:left w:val="none" w:sz="0" w:space="0" w:color="auto"/>
        <w:bottom w:val="none" w:sz="0" w:space="0" w:color="auto"/>
        <w:right w:val="none" w:sz="0" w:space="0" w:color="auto"/>
      </w:divBdr>
    </w:div>
    <w:div w:id="924412274">
      <w:bodyDiv w:val="1"/>
      <w:marLeft w:val="0"/>
      <w:marRight w:val="0"/>
      <w:marTop w:val="0"/>
      <w:marBottom w:val="0"/>
      <w:divBdr>
        <w:top w:val="none" w:sz="0" w:space="0" w:color="auto"/>
        <w:left w:val="none" w:sz="0" w:space="0" w:color="auto"/>
        <w:bottom w:val="none" w:sz="0" w:space="0" w:color="auto"/>
        <w:right w:val="none" w:sz="0" w:space="0" w:color="auto"/>
      </w:divBdr>
    </w:div>
    <w:div w:id="946960016">
      <w:bodyDiv w:val="1"/>
      <w:marLeft w:val="0"/>
      <w:marRight w:val="0"/>
      <w:marTop w:val="0"/>
      <w:marBottom w:val="0"/>
      <w:divBdr>
        <w:top w:val="none" w:sz="0" w:space="0" w:color="auto"/>
        <w:left w:val="none" w:sz="0" w:space="0" w:color="auto"/>
        <w:bottom w:val="none" w:sz="0" w:space="0" w:color="auto"/>
        <w:right w:val="none" w:sz="0" w:space="0" w:color="auto"/>
      </w:divBdr>
    </w:div>
    <w:div w:id="965546292">
      <w:bodyDiv w:val="1"/>
      <w:marLeft w:val="0"/>
      <w:marRight w:val="0"/>
      <w:marTop w:val="0"/>
      <w:marBottom w:val="0"/>
      <w:divBdr>
        <w:top w:val="none" w:sz="0" w:space="0" w:color="auto"/>
        <w:left w:val="none" w:sz="0" w:space="0" w:color="auto"/>
        <w:bottom w:val="none" w:sz="0" w:space="0" w:color="auto"/>
        <w:right w:val="none" w:sz="0" w:space="0" w:color="auto"/>
      </w:divBdr>
    </w:div>
    <w:div w:id="1113743151">
      <w:bodyDiv w:val="1"/>
      <w:marLeft w:val="0"/>
      <w:marRight w:val="0"/>
      <w:marTop w:val="0"/>
      <w:marBottom w:val="0"/>
      <w:divBdr>
        <w:top w:val="none" w:sz="0" w:space="0" w:color="auto"/>
        <w:left w:val="none" w:sz="0" w:space="0" w:color="auto"/>
        <w:bottom w:val="none" w:sz="0" w:space="0" w:color="auto"/>
        <w:right w:val="none" w:sz="0" w:space="0" w:color="auto"/>
      </w:divBdr>
    </w:div>
    <w:div w:id="1136945224">
      <w:bodyDiv w:val="1"/>
      <w:marLeft w:val="0"/>
      <w:marRight w:val="0"/>
      <w:marTop w:val="0"/>
      <w:marBottom w:val="0"/>
      <w:divBdr>
        <w:top w:val="none" w:sz="0" w:space="0" w:color="auto"/>
        <w:left w:val="none" w:sz="0" w:space="0" w:color="auto"/>
        <w:bottom w:val="none" w:sz="0" w:space="0" w:color="auto"/>
        <w:right w:val="none" w:sz="0" w:space="0" w:color="auto"/>
      </w:divBdr>
      <w:divsChild>
        <w:div w:id="375855678">
          <w:marLeft w:val="0"/>
          <w:marRight w:val="0"/>
          <w:marTop w:val="450"/>
          <w:marBottom w:val="0"/>
          <w:divBdr>
            <w:top w:val="none" w:sz="0" w:space="0" w:color="auto"/>
            <w:left w:val="none" w:sz="0" w:space="0" w:color="auto"/>
            <w:bottom w:val="none" w:sz="0" w:space="0" w:color="auto"/>
            <w:right w:val="none" w:sz="0" w:space="0" w:color="auto"/>
          </w:divBdr>
          <w:divsChild>
            <w:div w:id="1696804988">
              <w:marLeft w:val="0"/>
              <w:marRight w:val="0"/>
              <w:marTop w:val="0"/>
              <w:marBottom w:val="225"/>
              <w:divBdr>
                <w:top w:val="none" w:sz="0" w:space="0" w:color="auto"/>
                <w:left w:val="none" w:sz="0" w:space="0" w:color="auto"/>
                <w:bottom w:val="none" w:sz="0" w:space="0" w:color="auto"/>
                <w:right w:val="none" w:sz="0" w:space="0" w:color="auto"/>
              </w:divBdr>
              <w:divsChild>
                <w:div w:id="1613172396">
                  <w:marLeft w:val="300"/>
                  <w:marRight w:val="0"/>
                  <w:marTop w:val="0"/>
                  <w:marBottom w:val="0"/>
                  <w:divBdr>
                    <w:top w:val="single" w:sz="6" w:space="8" w:color="EEEEEE"/>
                    <w:left w:val="single" w:sz="6" w:space="11" w:color="EEEEEE"/>
                    <w:bottom w:val="none" w:sz="0" w:space="0" w:color="auto"/>
                    <w:right w:val="single" w:sz="6" w:space="11" w:color="EEEEEE"/>
                  </w:divBdr>
                </w:div>
                <w:div w:id="14444934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50037">
      <w:bodyDiv w:val="1"/>
      <w:marLeft w:val="0"/>
      <w:marRight w:val="0"/>
      <w:marTop w:val="0"/>
      <w:marBottom w:val="0"/>
      <w:divBdr>
        <w:top w:val="none" w:sz="0" w:space="0" w:color="auto"/>
        <w:left w:val="none" w:sz="0" w:space="0" w:color="auto"/>
        <w:bottom w:val="none" w:sz="0" w:space="0" w:color="auto"/>
        <w:right w:val="none" w:sz="0" w:space="0" w:color="auto"/>
      </w:divBdr>
    </w:div>
    <w:div w:id="1224366253">
      <w:bodyDiv w:val="1"/>
      <w:marLeft w:val="0"/>
      <w:marRight w:val="0"/>
      <w:marTop w:val="0"/>
      <w:marBottom w:val="0"/>
      <w:divBdr>
        <w:top w:val="none" w:sz="0" w:space="0" w:color="auto"/>
        <w:left w:val="none" w:sz="0" w:space="0" w:color="auto"/>
        <w:bottom w:val="none" w:sz="0" w:space="0" w:color="auto"/>
        <w:right w:val="none" w:sz="0" w:space="0" w:color="auto"/>
      </w:divBdr>
    </w:div>
    <w:div w:id="1418674488">
      <w:bodyDiv w:val="1"/>
      <w:marLeft w:val="0"/>
      <w:marRight w:val="0"/>
      <w:marTop w:val="0"/>
      <w:marBottom w:val="0"/>
      <w:divBdr>
        <w:top w:val="none" w:sz="0" w:space="0" w:color="auto"/>
        <w:left w:val="none" w:sz="0" w:space="0" w:color="auto"/>
        <w:bottom w:val="none" w:sz="0" w:space="0" w:color="auto"/>
        <w:right w:val="none" w:sz="0" w:space="0" w:color="auto"/>
      </w:divBdr>
    </w:div>
    <w:div w:id="1430925057">
      <w:bodyDiv w:val="1"/>
      <w:marLeft w:val="0"/>
      <w:marRight w:val="0"/>
      <w:marTop w:val="0"/>
      <w:marBottom w:val="0"/>
      <w:divBdr>
        <w:top w:val="none" w:sz="0" w:space="0" w:color="auto"/>
        <w:left w:val="none" w:sz="0" w:space="0" w:color="auto"/>
        <w:bottom w:val="none" w:sz="0" w:space="0" w:color="auto"/>
        <w:right w:val="none" w:sz="0" w:space="0" w:color="auto"/>
      </w:divBdr>
    </w:div>
    <w:div w:id="1504585506">
      <w:bodyDiv w:val="1"/>
      <w:marLeft w:val="0"/>
      <w:marRight w:val="0"/>
      <w:marTop w:val="0"/>
      <w:marBottom w:val="0"/>
      <w:divBdr>
        <w:top w:val="none" w:sz="0" w:space="0" w:color="auto"/>
        <w:left w:val="none" w:sz="0" w:space="0" w:color="auto"/>
        <w:bottom w:val="none" w:sz="0" w:space="0" w:color="auto"/>
        <w:right w:val="none" w:sz="0" w:space="0" w:color="auto"/>
      </w:divBdr>
    </w:div>
    <w:div w:id="1873302420">
      <w:bodyDiv w:val="1"/>
      <w:marLeft w:val="0"/>
      <w:marRight w:val="0"/>
      <w:marTop w:val="0"/>
      <w:marBottom w:val="0"/>
      <w:divBdr>
        <w:top w:val="none" w:sz="0" w:space="0" w:color="auto"/>
        <w:left w:val="none" w:sz="0" w:space="0" w:color="auto"/>
        <w:bottom w:val="none" w:sz="0" w:space="0" w:color="auto"/>
        <w:right w:val="none" w:sz="0" w:space="0" w:color="auto"/>
      </w:divBdr>
    </w:div>
    <w:div w:id="1970040521">
      <w:bodyDiv w:val="1"/>
      <w:marLeft w:val="0"/>
      <w:marRight w:val="0"/>
      <w:marTop w:val="0"/>
      <w:marBottom w:val="0"/>
      <w:divBdr>
        <w:top w:val="none" w:sz="0" w:space="0" w:color="auto"/>
        <w:left w:val="none" w:sz="0" w:space="0" w:color="auto"/>
        <w:bottom w:val="none" w:sz="0" w:space="0" w:color="auto"/>
        <w:right w:val="none" w:sz="0" w:space="0" w:color="auto"/>
      </w:divBdr>
    </w:div>
    <w:div w:id="212726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OSEI</dc:creator>
  <cp:lastModifiedBy>NANA OSEI</cp:lastModifiedBy>
  <cp:revision>2</cp:revision>
  <dcterms:created xsi:type="dcterms:W3CDTF">2017-05-07T22:26:00Z</dcterms:created>
  <dcterms:modified xsi:type="dcterms:W3CDTF">2017-05-07T23:24:00Z</dcterms:modified>
</cp:coreProperties>
</file>